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7A8" w:rsidRPr="00C977A8" w:rsidRDefault="00C977A8" w:rsidP="00C977A8">
      <w:pPr>
        <w:rPr>
          <w:rFonts w:ascii="Source Sans Pro Light" w:hAnsi="Source Sans Pro Light"/>
          <w:b/>
          <w:sz w:val="20"/>
          <w:szCs w:val="20"/>
        </w:rPr>
      </w:pPr>
      <w:bookmarkStart w:id="0" w:name="_GoBack"/>
      <w:bookmarkEnd w:id="0"/>
      <w:r w:rsidRPr="00C977A8">
        <w:rPr>
          <w:rFonts w:ascii="Source Sans Pro Light" w:hAnsi="Source Sans Pro Light"/>
          <w:b/>
          <w:sz w:val="20"/>
          <w:szCs w:val="20"/>
        </w:rPr>
        <w:t>Guidance for Fundraising Using Collecting Tins</w:t>
      </w:r>
    </w:p>
    <w:p w:rsidR="00C977A8" w:rsidRPr="00C977A8" w:rsidRDefault="00C977A8" w:rsidP="00C977A8">
      <w:pPr>
        <w:rPr>
          <w:rFonts w:ascii="Source Sans Pro Light" w:hAnsi="Source Sans Pro Light"/>
          <w:sz w:val="20"/>
          <w:szCs w:val="20"/>
        </w:rPr>
      </w:pPr>
      <w:r w:rsidRPr="00C977A8">
        <w:rPr>
          <w:rFonts w:ascii="Source Sans Pro Light" w:hAnsi="Source Sans Pro Light"/>
          <w:sz w:val="20"/>
          <w:szCs w:val="20"/>
        </w:rPr>
        <w:t>Static collecting boxes sited in public places (e.g. left on the counter in a shop, office or other places to which the public have general access) do not require a licence but there are some things you should do:</w:t>
      </w:r>
    </w:p>
    <w:p w:rsidR="00C977A8" w:rsidRPr="00100D81" w:rsidRDefault="00C977A8" w:rsidP="00100D81">
      <w:pPr>
        <w:pStyle w:val="ListParagraph"/>
        <w:numPr>
          <w:ilvl w:val="0"/>
          <w:numId w:val="4"/>
        </w:numPr>
        <w:rPr>
          <w:rFonts w:ascii="Source Sans Pro Light" w:hAnsi="Source Sans Pro Light"/>
          <w:sz w:val="20"/>
          <w:szCs w:val="20"/>
        </w:rPr>
      </w:pPr>
      <w:r w:rsidRPr="00100D81">
        <w:rPr>
          <w:rFonts w:ascii="Source Sans Pro Light" w:hAnsi="Source Sans Pro Light"/>
          <w:sz w:val="20"/>
          <w:szCs w:val="20"/>
        </w:rPr>
        <w:t>Obtain written permission from the venue</w:t>
      </w:r>
      <w:r w:rsidR="00430B4F">
        <w:rPr>
          <w:rFonts w:ascii="Source Sans Pro Light" w:hAnsi="Source Sans Pro Light"/>
          <w:sz w:val="20"/>
          <w:szCs w:val="20"/>
        </w:rPr>
        <w:t>.</w:t>
      </w:r>
      <w:r w:rsidRPr="00100D81">
        <w:rPr>
          <w:rFonts w:ascii="Source Sans Pro Light" w:hAnsi="Source Sans Pro Light"/>
          <w:sz w:val="20"/>
          <w:szCs w:val="20"/>
        </w:rPr>
        <w:t xml:space="preserve"> </w:t>
      </w:r>
    </w:p>
    <w:p w:rsidR="00C977A8" w:rsidRPr="00100D81" w:rsidRDefault="00430B4F" w:rsidP="00100D81">
      <w:pPr>
        <w:pStyle w:val="ListParagraph"/>
        <w:numPr>
          <w:ilvl w:val="0"/>
          <w:numId w:val="4"/>
        </w:numPr>
        <w:rPr>
          <w:rFonts w:ascii="Source Sans Pro Light" w:hAnsi="Source Sans Pro Light"/>
          <w:sz w:val="20"/>
          <w:szCs w:val="20"/>
        </w:rPr>
      </w:pPr>
      <w:r>
        <w:rPr>
          <w:rFonts w:ascii="Source Sans Pro Light" w:hAnsi="Source Sans Pro Light"/>
          <w:sz w:val="20"/>
          <w:szCs w:val="20"/>
        </w:rPr>
        <w:t>Provide a</w:t>
      </w:r>
      <w:r w:rsidR="00C977A8" w:rsidRPr="00100D81">
        <w:rPr>
          <w:rFonts w:ascii="Source Sans Pro Light" w:hAnsi="Source Sans Pro Light"/>
          <w:sz w:val="20"/>
          <w:szCs w:val="20"/>
        </w:rPr>
        <w:t xml:space="preserve"> letter/certificate of authority and identity badges to collectors who are to site and service boxes</w:t>
      </w:r>
      <w:r>
        <w:rPr>
          <w:rFonts w:ascii="Source Sans Pro Light" w:hAnsi="Source Sans Pro Light"/>
          <w:sz w:val="20"/>
          <w:szCs w:val="20"/>
        </w:rPr>
        <w:t>.</w:t>
      </w:r>
    </w:p>
    <w:p w:rsidR="00C977A8" w:rsidRPr="00100D81" w:rsidRDefault="00C977A8" w:rsidP="00100D81">
      <w:pPr>
        <w:pStyle w:val="ListParagraph"/>
        <w:numPr>
          <w:ilvl w:val="0"/>
          <w:numId w:val="4"/>
        </w:numPr>
        <w:rPr>
          <w:rFonts w:ascii="Source Sans Pro Light" w:hAnsi="Source Sans Pro Light"/>
          <w:sz w:val="20"/>
          <w:szCs w:val="20"/>
        </w:rPr>
      </w:pPr>
      <w:r w:rsidRPr="00100D81">
        <w:rPr>
          <w:rFonts w:ascii="Source Sans Pro Light" w:hAnsi="Source Sans Pro Light"/>
          <w:sz w:val="20"/>
          <w:szCs w:val="20"/>
        </w:rPr>
        <w:t>Ensure boxes are made of a suitable material, such as metal, wood or plastic. Cardboard or other paper products are not normally adequate for this purpose.</w:t>
      </w:r>
    </w:p>
    <w:p w:rsidR="00C977A8" w:rsidRPr="00100D81" w:rsidRDefault="00430B4F" w:rsidP="00100D81">
      <w:pPr>
        <w:pStyle w:val="ListParagraph"/>
        <w:numPr>
          <w:ilvl w:val="0"/>
          <w:numId w:val="4"/>
        </w:numPr>
        <w:rPr>
          <w:rFonts w:ascii="Source Sans Pro Light" w:hAnsi="Source Sans Pro Light"/>
          <w:sz w:val="20"/>
          <w:szCs w:val="20"/>
        </w:rPr>
      </w:pPr>
      <w:r>
        <w:rPr>
          <w:rFonts w:ascii="Source Sans Pro Light" w:hAnsi="Source Sans Pro Light"/>
          <w:sz w:val="20"/>
          <w:szCs w:val="20"/>
        </w:rPr>
        <w:t>Mark boxes</w:t>
      </w:r>
      <w:r w:rsidR="00C977A8" w:rsidRPr="00100D81">
        <w:rPr>
          <w:rFonts w:ascii="Source Sans Pro Light" w:hAnsi="Source Sans Pro Light"/>
          <w:sz w:val="20"/>
          <w:szCs w:val="20"/>
        </w:rPr>
        <w:t xml:space="preserve"> with the name, address and registered number (if applicable) of the charity or fund that is to benefit. </w:t>
      </w:r>
    </w:p>
    <w:p w:rsidR="00C977A8" w:rsidRPr="00100D81" w:rsidRDefault="00430B4F" w:rsidP="00100D81">
      <w:pPr>
        <w:pStyle w:val="ListParagraph"/>
        <w:numPr>
          <w:ilvl w:val="0"/>
          <w:numId w:val="4"/>
        </w:numPr>
        <w:rPr>
          <w:rFonts w:ascii="Source Sans Pro Light" w:hAnsi="Source Sans Pro Light"/>
          <w:sz w:val="20"/>
          <w:szCs w:val="20"/>
        </w:rPr>
      </w:pPr>
      <w:r>
        <w:rPr>
          <w:rFonts w:ascii="Source Sans Pro Light" w:hAnsi="Source Sans Pro Light"/>
          <w:sz w:val="20"/>
          <w:szCs w:val="20"/>
        </w:rPr>
        <w:t>Give each b</w:t>
      </w:r>
      <w:r w:rsidR="00C977A8" w:rsidRPr="00100D81">
        <w:rPr>
          <w:rFonts w:ascii="Source Sans Pro Light" w:hAnsi="Source Sans Pro Light"/>
          <w:sz w:val="20"/>
          <w:szCs w:val="20"/>
        </w:rPr>
        <w:t>ox a unique number for identification purposes. You should keep records of where the boxes are sited and how much money is collected from each box.</w:t>
      </w:r>
    </w:p>
    <w:p w:rsidR="00C977A8" w:rsidRPr="00100D81" w:rsidRDefault="00430B4F" w:rsidP="00100D81">
      <w:pPr>
        <w:pStyle w:val="ListParagraph"/>
        <w:numPr>
          <w:ilvl w:val="0"/>
          <w:numId w:val="4"/>
        </w:numPr>
        <w:rPr>
          <w:rFonts w:ascii="Source Sans Pro Light" w:hAnsi="Source Sans Pro Light"/>
          <w:sz w:val="20"/>
          <w:szCs w:val="20"/>
        </w:rPr>
      </w:pPr>
      <w:r>
        <w:rPr>
          <w:rFonts w:ascii="Source Sans Pro Light" w:hAnsi="Source Sans Pro Light"/>
          <w:sz w:val="20"/>
          <w:szCs w:val="20"/>
        </w:rPr>
        <w:t xml:space="preserve">Mark </w:t>
      </w:r>
      <w:r w:rsidR="00C977A8" w:rsidRPr="00100D81">
        <w:rPr>
          <w:rFonts w:ascii="Source Sans Pro Light" w:hAnsi="Source Sans Pro Light"/>
          <w:sz w:val="20"/>
          <w:szCs w:val="20"/>
        </w:rPr>
        <w:t xml:space="preserve">contact </w:t>
      </w:r>
      <w:r>
        <w:rPr>
          <w:rFonts w:ascii="Source Sans Pro Light" w:hAnsi="Source Sans Pro Light"/>
          <w:sz w:val="20"/>
          <w:szCs w:val="20"/>
        </w:rPr>
        <w:t>details (minimum of telephone number</w:t>
      </w:r>
      <w:r w:rsidR="00C977A8" w:rsidRPr="00100D81">
        <w:rPr>
          <w:rFonts w:ascii="Source Sans Pro Light" w:hAnsi="Source Sans Pro Light"/>
          <w:sz w:val="20"/>
          <w:szCs w:val="20"/>
        </w:rPr>
        <w:t xml:space="preserve">) on the box so that prompt emptying of the box can be arranged. </w:t>
      </w:r>
    </w:p>
    <w:p w:rsidR="00C977A8" w:rsidRPr="00100D81" w:rsidRDefault="00430B4F" w:rsidP="00100D81">
      <w:pPr>
        <w:pStyle w:val="ListParagraph"/>
        <w:numPr>
          <w:ilvl w:val="0"/>
          <w:numId w:val="4"/>
        </w:numPr>
        <w:rPr>
          <w:rFonts w:ascii="Source Sans Pro Light" w:hAnsi="Source Sans Pro Light"/>
          <w:sz w:val="20"/>
          <w:szCs w:val="20"/>
        </w:rPr>
      </w:pPr>
      <w:r>
        <w:rPr>
          <w:rFonts w:ascii="Source Sans Pro Light" w:hAnsi="Source Sans Pro Light"/>
          <w:sz w:val="20"/>
          <w:szCs w:val="20"/>
        </w:rPr>
        <w:t>You must seal boxes</w:t>
      </w:r>
      <w:r w:rsidR="00C977A8" w:rsidRPr="00100D81">
        <w:rPr>
          <w:rFonts w:ascii="Source Sans Pro Light" w:hAnsi="Source Sans Pro Light"/>
          <w:sz w:val="20"/>
          <w:szCs w:val="20"/>
        </w:rPr>
        <w:t xml:space="preserve"> with a tamper-proof closure. The seal on the collecting box may be a lock, self-adhesive paper, or some other device provided that any attempt to tamper with or break the seal can easily be detected. A lock on its own can usually be opened and closed without detection and it is consequently advisable to use some other form of device, which can guarantee evidence of tampering. </w:t>
      </w:r>
    </w:p>
    <w:p w:rsidR="00C977A8" w:rsidRPr="00100D81" w:rsidRDefault="00430B4F" w:rsidP="00100D81">
      <w:pPr>
        <w:pStyle w:val="ListParagraph"/>
        <w:numPr>
          <w:ilvl w:val="0"/>
          <w:numId w:val="4"/>
        </w:numPr>
        <w:rPr>
          <w:rFonts w:ascii="Source Sans Pro Light" w:hAnsi="Source Sans Pro Light"/>
          <w:sz w:val="20"/>
          <w:szCs w:val="20"/>
        </w:rPr>
      </w:pPr>
      <w:r>
        <w:rPr>
          <w:rFonts w:ascii="Source Sans Pro Light" w:hAnsi="Source Sans Pro Light"/>
          <w:sz w:val="20"/>
          <w:szCs w:val="20"/>
        </w:rPr>
        <w:t>Check b</w:t>
      </w:r>
      <w:r w:rsidR="00C977A8" w:rsidRPr="00100D81">
        <w:rPr>
          <w:rFonts w:ascii="Source Sans Pro Light" w:hAnsi="Source Sans Pro Light"/>
          <w:sz w:val="20"/>
          <w:szCs w:val="20"/>
        </w:rPr>
        <w:t>ox seals regularly, and before each opening. Any sign of tampering should be reported to the authorised promoters of the collection (if applicable) – it is good practice to make a record of it. On no account should any attempt be made to re-use the seals.</w:t>
      </w:r>
    </w:p>
    <w:p w:rsidR="00C977A8" w:rsidRPr="00100D81" w:rsidRDefault="00522F23" w:rsidP="00100D81">
      <w:pPr>
        <w:pStyle w:val="ListParagraph"/>
        <w:numPr>
          <w:ilvl w:val="0"/>
          <w:numId w:val="4"/>
        </w:numPr>
        <w:rPr>
          <w:rFonts w:ascii="Source Sans Pro Light" w:hAnsi="Source Sans Pro Light"/>
          <w:sz w:val="20"/>
          <w:szCs w:val="20"/>
        </w:rPr>
      </w:pPr>
      <w:r>
        <w:rPr>
          <w:rFonts w:ascii="Source Sans Pro Light" w:hAnsi="Source Sans Pro Light"/>
          <w:sz w:val="20"/>
          <w:szCs w:val="20"/>
        </w:rPr>
        <w:t>Empty boxes</w:t>
      </w:r>
      <w:r w:rsidR="00C977A8" w:rsidRPr="00100D81">
        <w:rPr>
          <w:rFonts w:ascii="Source Sans Pro Light" w:hAnsi="Source Sans Pro Light"/>
          <w:sz w:val="20"/>
          <w:szCs w:val="20"/>
        </w:rPr>
        <w:t xml:space="preserve"> regularly, at least every six months and preferably in the presence of the boxholder</w:t>
      </w:r>
      <w:r>
        <w:rPr>
          <w:rFonts w:ascii="Source Sans Pro Light" w:hAnsi="Source Sans Pro Light"/>
          <w:sz w:val="20"/>
          <w:szCs w:val="20"/>
        </w:rPr>
        <w:t>;</w:t>
      </w:r>
      <w:r w:rsidR="00C977A8" w:rsidRPr="00100D81">
        <w:rPr>
          <w:rFonts w:ascii="Source Sans Pro Light" w:hAnsi="Source Sans Pro Light"/>
          <w:sz w:val="20"/>
          <w:szCs w:val="20"/>
        </w:rPr>
        <w:t xml:space="preserve"> or at the least ensure there are at least two people present when opening it. Authority and identification should be shown, and the boxholder given a receipt.</w:t>
      </w:r>
    </w:p>
    <w:p w:rsidR="00C977A8" w:rsidRPr="00C977A8" w:rsidRDefault="00C977A8" w:rsidP="00C977A8">
      <w:pPr>
        <w:rPr>
          <w:rFonts w:ascii="Source Sans Pro Light" w:hAnsi="Source Sans Pro Light"/>
          <w:sz w:val="20"/>
          <w:szCs w:val="20"/>
        </w:rPr>
      </w:pPr>
      <w:bookmarkStart w:id="1" w:name="_Hlk104822974"/>
      <w:r w:rsidRPr="00C977A8">
        <w:rPr>
          <w:rFonts w:ascii="Source Sans Pro Light" w:hAnsi="Source Sans Pro Light"/>
          <w:sz w:val="20"/>
          <w:szCs w:val="20"/>
        </w:rPr>
        <w:t>It is not necessary for a fund to be registered as a charity in order legally to raise money, as long as the legal requirements are met.</w:t>
      </w:r>
    </w:p>
    <w:bookmarkEnd w:id="1"/>
    <w:p w:rsidR="00C977A8" w:rsidRPr="00C977A8" w:rsidRDefault="00C977A8" w:rsidP="00C977A8">
      <w:pPr>
        <w:rPr>
          <w:rFonts w:ascii="Source Sans Pro Light" w:hAnsi="Source Sans Pro Light"/>
          <w:sz w:val="20"/>
          <w:szCs w:val="20"/>
        </w:rPr>
      </w:pPr>
      <w:r w:rsidRPr="00C977A8">
        <w:rPr>
          <w:rFonts w:ascii="Source Sans Pro Light" w:hAnsi="Source Sans Pro Light"/>
          <w:sz w:val="20"/>
          <w:szCs w:val="20"/>
        </w:rPr>
        <w:t xml:space="preserve">Collections undertaken on private premises, to which the public does not have general access, are generally not regulated by law. Any venue where you have to pay to enter is considered private – for example, if entry fees are charged on one particular day for an event held in a park which is usually open to public access that park will be considered private land on that day. </w:t>
      </w:r>
    </w:p>
    <w:p w:rsidR="00C977A8" w:rsidRPr="00C977A8" w:rsidRDefault="00C977A8" w:rsidP="00C977A8">
      <w:pPr>
        <w:rPr>
          <w:rFonts w:ascii="Source Sans Pro Light" w:hAnsi="Source Sans Pro Light"/>
          <w:sz w:val="20"/>
          <w:szCs w:val="20"/>
        </w:rPr>
      </w:pPr>
      <w:r w:rsidRPr="00C977A8">
        <w:rPr>
          <w:rFonts w:ascii="Source Sans Pro Light" w:hAnsi="Source Sans Pro Light"/>
          <w:sz w:val="20"/>
          <w:szCs w:val="20"/>
        </w:rPr>
        <w:t>If you are using the tins in a street collection (including on private land where the public have general access, for example outside supermarkets) you will need a licence from the local Council</w:t>
      </w:r>
      <w:r w:rsidR="00522F23">
        <w:rPr>
          <w:rFonts w:ascii="Source Sans Pro Light" w:hAnsi="Source Sans Pro Light"/>
          <w:sz w:val="20"/>
          <w:szCs w:val="20"/>
        </w:rPr>
        <w:t>. C</w:t>
      </w:r>
      <w:r w:rsidRPr="00C977A8">
        <w:rPr>
          <w:rFonts w:ascii="Source Sans Pro Light" w:hAnsi="Source Sans Pro Light"/>
          <w:sz w:val="20"/>
          <w:szCs w:val="20"/>
        </w:rPr>
        <w:t>heck their website for more detailed guidance and application forms</w:t>
      </w:r>
      <w:r w:rsidR="00522F23">
        <w:rPr>
          <w:rFonts w:ascii="Source Sans Pro Light" w:hAnsi="Source Sans Pro Light"/>
          <w:sz w:val="20"/>
          <w:szCs w:val="20"/>
        </w:rPr>
        <w:t>:</w:t>
      </w:r>
    </w:p>
    <w:p w:rsidR="00522F23" w:rsidRDefault="00C87490" w:rsidP="00DD2C79">
      <w:pPr>
        <w:pStyle w:val="ListParagraph"/>
        <w:numPr>
          <w:ilvl w:val="0"/>
          <w:numId w:val="6"/>
        </w:numPr>
        <w:ind w:left="284" w:hanging="284"/>
        <w:rPr>
          <w:rFonts w:ascii="Source Sans Pro Light" w:hAnsi="Source Sans Pro Light"/>
          <w:sz w:val="20"/>
          <w:szCs w:val="20"/>
        </w:rPr>
      </w:pPr>
      <w:hyperlink r:id="rId7" w:history="1">
        <w:r w:rsidR="00C977A8" w:rsidRPr="00522F23">
          <w:rPr>
            <w:rStyle w:val="Hyperlink"/>
            <w:rFonts w:ascii="Source Sans Pro Light" w:hAnsi="Source Sans Pro Light"/>
            <w:sz w:val="20"/>
            <w:szCs w:val="20"/>
          </w:rPr>
          <w:t>For the Bedford Borough Council area</w:t>
        </w:r>
      </w:hyperlink>
      <w:r w:rsidR="00C977A8" w:rsidRPr="00522F23">
        <w:rPr>
          <w:rFonts w:ascii="Source Sans Pro Light" w:hAnsi="Source Sans Pro Light"/>
          <w:sz w:val="20"/>
          <w:szCs w:val="20"/>
        </w:rPr>
        <w:t xml:space="preserve"> </w:t>
      </w:r>
    </w:p>
    <w:p w:rsidR="00C977A8" w:rsidRPr="00522F23" w:rsidRDefault="00C87490" w:rsidP="00DD2C79">
      <w:pPr>
        <w:pStyle w:val="ListParagraph"/>
        <w:numPr>
          <w:ilvl w:val="0"/>
          <w:numId w:val="6"/>
        </w:numPr>
        <w:ind w:left="284" w:hanging="284"/>
        <w:rPr>
          <w:rFonts w:ascii="Source Sans Pro Light" w:hAnsi="Source Sans Pro Light"/>
          <w:sz w:val="20"/>
          <w:szCs w:val="20"/>
        </w:rPr>
      </w:pPr>
      <w:hyperlink r:id="rId8" w:history="1">
        <w:r w:rsidR="00C977A8" w:rsidRPr="00522F23">
          <w:rPr>
            <w:rStyle w:val="Hyperlink"/>
            <w:rFonts w:ascii="Source Sans Pro Light" w:hAnsi="Source Sans Pro Light"/>
            <w:sz w:val="20"/>
            <w:szCs w:val="20"/>
          </w:rPr>
          <w:t>For the Central Bedfordshire Council area</w:t>
        </w:r>
      </w:hyperlink>
      <w:r w:rsidR="00C977A8" w:rsidRPr="00522F23">
        <w:rPr>
          <w:rFonts w:ascii="Source Sans Pro Light" w:hAnsi="Source Sans Pro Light"/>
          <w:sz w:val="20"/>
          <w:szCs w:val="20"/>
        </w:rPr>
        <w:t xml:space="preserve"> </w:t>
      </w:r>
    </w:p>
    <w:p w:rsidR="00C977A8" w:rsidRPr="00DD2C79" w:rsidRDefault="00C87490" w:rsidP="00DD2C79">
      <w:pPr>
        <w:pStyle w:val="ListParagraph"/>
        <w:numPr>
          <w:ilvl w:val="0"/>
          <w:numId w:val="6"/>
        </w:numPr>
        <w:ind w:left="284" w:hanging="284"/>
        <w:rPr>
          <w:rFonts w:ascii="Source Sans Pro Light" w:hAnsi="Source Sans Pro Light"/>
          <w:sz w:val="20"/>
          <w:szCs w:val="20"/>
        </w:rPr>
      </w:pPr>
      <w:hyperlink r:id="rId9" w:history="1">
        <w:r w:rsidR="00C977A8" w:rsidRPr="00522F23">
          <w:rPr>
            <w:rStyle w:val="Hyperlink"/>
            <w:rFonts w:ascii="Source Sans Pro Light" w:hAnsi="Source Sans Pro Light"/>
            <w:sz w:val="20"/>
            <w:szCs w:val="20"/>
          </w:rPr>
          <w:t>For the Luton Council area</w:t>
        </w:r>
      </w:hyperlink>
      <w:r w:rsidR="00C977A8" w:rsidRPr="00DD2C79">
        <w:rPr>
          <w:rFonts w:ascii="Source Sans Pro Light" w:hAnsi="Source Sans Pro Light"/>
          <w:sz w:val="20"/>
          <w:szCs w:val="20"/>
        </w:rPr>
        <w:t xml:space="preserve"> </w:t>
      </w:r>
    </w:p>
    <w:p w:rsidR="00C977A8" w:rsidRPr="00C977A8" w:rsidRDefault="00C977A8" w:rsidP="00C977A8">
      <w:pPr>
        <w:rPr>
          <w:rFonts w:ascii="Source Sans Pro Light" w:hAnsi="Source Sans Pro Light"/>
          <w:sz w:val="20"/>
          <w:szCs w:val="20"/>
        </w:rPr>
      </w:pPr>
      <w:r w:rsidRPr="00C977A8">
        <w:rPr>
          <w:rFonts w:ascii="Source Sans Pro Light" w:hAnsi="Source Sans Pro Light"/>
          <w:sz w:val="20"/>
          <w:szCs w:val="20"/>
        </w:rPr>
        <w:t>Collections made house to house or, for example, by visiting more than one public house (with landlords' consent) will require a house to house collection licence. This can also be obtained from the local Council – more detailed guidance and application forms can be found on their websites</w:t>
      </w:r>
      <w:r w:rsidR="00522F23">
        <w:rPr>
          <w:rFonts w:ascii="Source Sans Pro Light" w:hAnsi="Source Sans Pro Light"/>
          <w:sz w:val="20"/>
          <w:szCs w:val="20"/>
        </w:rPr>
        <w:t>:</w:t>
      </w:r>
    </w:p>
    <w:p w:rsidR="00522F23" w:rsidRDefault="00C87490" w:rsidP="00DD2C79">
      <w:pPr>
        <w:pStyle w:val="ListParagraph"/>
        <w:numPr>
          <w:ilvl w:val="0"/>
          <w:numId w:val="7"/>
        </w:numPr>
        <w:ind w:left="284" w:hanging="284"/>
        <w:rPr>
          <w:rFonts w:ascii="Source Sans Pro Light" w:hAnsi="Source Sans Pro Light"/>
          <w:sz w:val="20"/>
          <w:szCs w:val="20"/>
        </w:rPr>
      </w:pPr>
      <w:hyperlink r:id="rId10" w:history="1">
        <w:r w:rsidR="00C977A8" w:rsidRPr="00522F23">
          <w:rPr>
            <w:rStyle w:val="Hyperlink"/>
            <w:rFonts w:ascii="Source Sans Pro Light" w:hAnsi="Source Sans Pro Light"/>
            <w:sz w:val="20"/>
            <w:szCs w:val="20"/>
          </w:rPr>
          <w:t>For the Bedford Borough Council area:</w:t>
        </w:r>
      </w:hyperlink>
    </w:p>
    <w:p w:rsidR="00522F23" w:rsidRDefault="00C87490" w:rsidP="00DD2C79">
      <w:pPr>
        <w:pStyle w:val="ListParagraph"/>
        <w:numPr>
          <w:ilvl w:val="0"/>
          <w:numId w:val="7"/>
        </w:numPr>
        <w:ind w:left="284" w:hanging="284"/>
        <w:rPr>
          <w:rFonts w:ascii="Source Sans Pro Light" w:hAnsi="Source Sans Pro Light"/>
          <w:sz w:val="20"/>
          <w:szCs w:val="20"/>
        </w:rPr>
      </w:pPr>
      <w:hyperlink r:id="rId11" w:history="1">
        <w:r w:rsidR="00C977A8" w:rsidRPr="00522F23">
          <w:rPr>
            <w:rStyle w:val="Hyperlink"/>
            <w:rFonts w:ascii="Source Sans Pro Light" w:hAnsi="Source Sans Pro Light"/>
            <w:sz w:val="20"/>
            <w:szCs w:val="20"/>
          </w:rPr>
          <w:t>For the Central Bedfordshire Council area</w:t>
        </w:r>
      </w:hyperlink>
    </w:p>
    <w:p w:rsidR="00C977A8" w:rsidRPr="00522F23" w:rsidRDefault="00C87490" w:rsidP="00DD2C79">
      <w:pPr>
        <w:pStyle w:val="ListParagraph"/>
        <w:numPr>
          <w:ilvl w:val="0"/>
          <w:numId w:val="7"/>
        </w:numPr>
        <w:ind w:left="284" w:hanging="284"/>
        <w:rPr>
          <w:rFonts w:ascii="Source Sans Pro Light" w:hAnsi="Source Sans Pro Light"/>
          <w:sz w:val="20"/>
          <w:szCs w:val="20"/>
        </w:rPr>
      </w:pPr>
      <w:hyperlink r:id="rId12" w:history="1">
        <w:r w:rsidR="00C977A8" w:rsidRPr="00522F23">
          <w:rPr>
            <w:rStyle w:val="Hyperlink"/>
            <w:rFonts w:ascii="Source Sans Pro Light" w:hAnsi="Source Sans Pro Light"/>
            <w:sz w:val="20"/>
            <w:szCs w:val="20"/>
          </w:rPr>
          <w:t>For the Luton Council area</w:t>
        </w:r>
      </w:hyperlink>
    </w:p>
    <w:p w:rsidR="00D82423" w:rsidRPr="00C977A8" w:rsidRDefault="00D82423" w:rsidP="00C977A8"/>
    <w:sectPr w:rsidR="00D82423" w:rsidRPr="00C977A8" w:rsidSect="00D8242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490" w:rsidRDefault="00C87490" w:rsidP="00402219">
      <w:pPr>
        <w:spacing w:after="0" w:line="240" w:lineRule="auto"/>
      </w:pPr>
      <w:r>
        <w:separator/>
      </w:r>
    </w:p>
  </w:endnote>
  <w:endnote w:type="continuationSeparator" w:id="0">
    <w:p w:rsidR="00C87490" w:rsidRDefault="00C87490" w:rsidP="0040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altName w:val="Source Sans Pro Light"/>
    <w:panose1 w:val="020B04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777" w:rsidRDefault="00A01777">
    <w:pPr>
      <w:pStyle w:val="Foot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60960</wp:posOffset>
          </wp:positionV>
          <wp:extent cx="542290" cy="542290"/>
          <wp:effectExtent l="0" t="0" r="0" b="0"/>
          <wp:wrapThrough wrapText="bothSides">
            <wp:wrapPolygon edited="0">
              <wp:start x="0" y="0"/>
              <wp:lineTo x="0" y="20487"/>
              <wp:lineTo x="20487" y="20487"/>
              <wp:lineTo x="204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S Logo Square Small jpg.jpg"/>
                  <pic:cNvPicPr/>
                </pic:nvPicPr>
                <pic:blipFill>
                  <a:blip r:embed="rId1">
                    <a:extLst>
                      <a:ext uri="{28A0092B-C50C-407E-A947-70E740481C1C}">
                        <a14:useLocalDpi xmlns:a14="http://schemas.microsoft.com/office/drawing/2010/main" val="0"/>
                      </a:ext>
                    </a:extLst>
                  </a:blip>
                  <a:stretch>
                    <a:fillRect/>
                  </a:stretch>
                </pic:blipFill>
                <pic:spPr>
                  <a:xfrm>
                    <a:off x="0" y="0"/>
                    <a:ext cx="542290" cy="542290"/>
                  </a:xfrm>
                  <a:prstGeom prst="rect">
                    <a:avLst/>
                  </a:prstGeom>
                </pic:spPr>
              </pic:pic>
            </a:graphicData>
          </a:graphic>
        </wp:anchor>
      </w:drawing>
    </w:r>
    <w:r w:rsidR="00402219">
      <w:ptab w:relativeTo="margin" w:alignment="center" w:leader="none"/>
    </w:r>
  </w:p>
  <w:p w:rsidR="00A01777" w:rsidRDefault="00A01777">
    <w:pPr>
      <w:pStyle w:val="Footer"/>
    </w:pPr>
    <w:r>
      <w:t>Help sheet produced by Community Voluntary Service Bedfordshire</w:t>
    </w:r>
  </w:p>
  <w:p w:rsidR="00A01777" w:rsidRDefault="00A01777">
    <w:pPr>
      <w:pStyle w:val="Footer"/>
    </w:pPr>
    <w:r>
      <w:t>www.cvsbeds.org.uk</w:t>
    </w:r>
    <w:r w:rsidR="00402219">
      <w:ptab w:relativeTo="margin" w:alignment="right" w:leader="none"/>
    </w:r>
    <w:r w:rsidR="00100D81">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490" w:rsidRDefault="00C87490" w:rsidP="00402219">
      <w:pPr>
        <w:spacing w:after="0" w:line="240" w:lineRule="auto"/>
      </w:pPr>
      <w:r>
        <w:separator/>
      </w:r>
    </w:p>
  </w:footnote>
  <w:footnote w:type="continuationSeparator" w:id="0">
    <w:p w:rsidR="00C87490" w:rsidRDefault="00C87490" w:rsidP="00402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1500"/>
    <w:multiLevelType w:val="hybridMultilevel"/>
    <w:tmpl w:val="CAE0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B4DAC"/>
    <w:multiLevelType w:val="hybridMultilevel"/>
    <w:tmpl w:val="28664826"/>
    <w:lvl w:ilvl="0" w:tplc="250823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A239F"/>
    <w:multiLevelType w:val="hybridMultilevel"/>
    <w:tmpl w:val="B05C5980"/>
    <w:lvl w:ilvl="0" w:tplc="250823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657E8"/>
    <w:multiLevelType w:val="hybridMultilevel"/>
    <w:tmpl w:val="2B30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A07076"/>
    <w:multiLevelType w:val="hybridMultilevel"/>
    <w:tmpl w:val="5C8E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80DB8"/>
    <w:multiLevelType w:val="hybridMultilevel"/>
    <w:tmpl w:val="DC8A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F04E5"/>
    <w:multiLevelType w:val="hybridMultilevel"/>
    <w:tmpl w:val="D26E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23"/>
    <w:rsid w:val="00035621"/>
    <w:rsid w:val="00100D81"/>
    <w:rsid w:val="002E17E6"/>
    <w:rsid w:val="002F3B46"/>
    <w:rsid w:val="00402219"/>
    <w:rsid w:val="00430B4F"/>
    <w:rsid w:val="004579C6"/>
    <w:rsid w:val="004766D8"/>
    <w:rsid w:val="0050136D"/>
    <w:rsid w:val="00522F23"/>
    <w:rsid w:val="00642833"/>
    <w:rsid w:val="00803E2C"/>
    <w:rsid w:val="00982A09"/>
    <w:rsid w:val="00A01777"/>
    <w:rsid w:val="00B122BB"/>
    <w:rsid w:val="00B21AA7"/>
    <w:rsid w:val="00B74E31"/>
    <w:rsid w:val="00C87490"/>
    <w:rsid w:val="00C977A8"/>
    <w:rsid w:val="00CC55D0"/>
    <w:rsid w:val="00D2042B"/>
    <w:rsid w:val="00D82423"/>
    <w:rsid w:val="00D84F88"/>
    <w:rsid w:val="00DD2C79"/>
    <w:rsid w:val="00EA05D1"/>
    <w:rsid w:val="00EF077E"/>
    <w:rsid w:val="00FC6590"/>
    <w:rsid w:val="00FD2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592F0B-8CF8-43FF-B7BC-E1B15A6D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423"/>
    <w:rPr>
      <w:color w:val="0563C1" w:themeColor="hyperlink"/>
      <w:u w:val="single"/>
    </w:rPr>
  </w:style>
  <w:style w:type="character" w:styleId="UnresolvedMention">
    <w:name w:val="Unresolved Mention"/>
    <w:basedOn w:val="DefaultParagraphFont"/>
    <w:uiPriority w:val="99"/>
    <w:semiHidden/>
    <w:unhideWhenUsed/>
    <w:rsid w:val="00D82423"/>
    <w:rPr>
      <w:color w:val="605E5C"/>
      <w:shd w:val="clear" w:color="auto" w:fill="E1DFDD"/>
    </w:rPr>
  </w:style>
  <w:style w:type="paragraph" w:styleId="ListParagraph">
    <w:name w:val="List Paragraph"/>
    <w:basedOn w:val="Normal"/>
    <w:uiPriority w:val="34"/>
    <w:qFormat/>
    <w:rsid w:val="00D82423"/>
    <w:pPr>
      <w:ind w:left="720"/>
      <w:contextualSpacing/>
    </w:pPr>
  </w:style>
  <w:style w:type="paragraph" w:styleId="Header">
    <w:name w:val="header"/>
    <w:basedOn w:val="Normal"/>
    <w:link w:val="HeaderChar"/>
    <w:uiPriority w:val="99"/>
    <w:unhideWhenUsed/>
    <w:rsid w:val="0040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219"/>
  </w:style>
  <w:style w:type="paragraph" w:styleId="Footer">
    <w:name w:val="footer"/>
    <w:basedOn w:val="Normal"/>
    <w:link w:val="FooterChar"/>
    <w:uiPriority w:val="99"/>
    <w:unhideWhenUsed/>
    <w:rsid w:val="0040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len\AppData\Local\Microsoft\Windows\INetCache\Content.Outlook\J3H3CO39\%20https\www.centralbedfordshire.gov.uk\info\59\licensing\38\charity_collec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Helen\AppData\Local\Microsoft\Windows\INetCache\Content.Outlook\J3H3CO39\&#8226;%09https:\www.bedford.gov.uk\licencing\other-licensing-information\street-collections\" TargetMode="External"/><Relationship Id="rId12" Type="http://schemas.openxmlformats.org/officeDocument/2006/relationships/hyperlink" Target="https://m.luton.gov.uk/Page/Show/Business/Business_support_and_advice/licensing-and-regulation/Permits%20Authorisations%20and%20Licences/Street_trading_licences/Pages/Licence%20-%20house%20to%20house%20collection.aspx?redirectToMobil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Helen\AppData\Local\Microsoft\Windows\INetCache\Content.Outlook\J3H3CO39\&#8226;%09https:\www.centralbedfordshire.gov.uk\info\59\licensing\38\charity_collec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Helen\AppData\Local\Microsoft\Windows\INetCache\Content.Outlook\J3H3CO39\&#8226;%09https:\www.bedford.gov.uk\licencing\other-licensing-information\house-to-house-collections-reg\" TargetMode="External"/><Relationship Id="rId4" Type="http://schemas.openxmlformats.org/officeDocument/2006/relationships/webSettings" Target="webSettings.xml"/><Relationship Id="rId9" Type="http://schemas.openxmlformats.org/officeDocument/2006/relationships/hyperlink" Target="https://m.luton.gov.uk/Page/Show/Business/Business_support_and_advice/licensing-and-regulation/Permits%20Authorisations%20and%20Licences/Street_trading_licences/Pages/Licence%20-%20street%20collection.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Owen</dc:creator>
  <cp:keywords/>
  <dc:description/>
  <cp:lastModifiedBy>Helen Hall</cp:lastModifiedBy>
  <cp:revision>2</cp:revision>
  <cp:lastPrinted>2022-05-11T14:19:00Z</cp:lastPrinted>
  <dcterms:created xsi:type="dcterms:W3CDTF">2022-05-31T16:38:00Z</dcterms:created>
  <dcterms:modified xsi:type="dcterms:W3CDTF">2022-05-31T16:38:00Z</dcterms:modified>
</cp:coreProperties>
</file>