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9F" w:rsidRPr="00A73243" w:rsidRDefault="00F35F9F" w:rsidP="00C72B20">
      <w:pPr>
        <w:rPr>
          <w:rFonts w:ascii="Arial" w:hAnsi="Arial" w:cs="Arial"/>
          <w:b/>
          <w:sz w:val="24"/>
          <w:szCs w:val="24"/>
        </w:rPr>
      </w:pPr>
      <w:r w:rsidRPr="00A73243">
        <w:rPr>
          <w:rFonts w:ascii="Arial" w:hAnsi="Arial" w:cs="Arial"/>
          <w:b/>
          <w:sz w:val="24"/>
          <w:szCs w:val="24"/>
        </w:rPr>
        <w:t>Risk Register Template</w:t>
      </w:r>
    </w:p>
    <w:p w:rsidR="00F35F9F" w:rsidRPr="00A73243" w:rsidRDefault="00F35F9F" w:rsidP="00C72B20">
      <w:pPr>
        <w:rPr>
          <w:rFonts w:ascii="Arial" w:hAnsi="Arial" w:cs="Arial"/>
          <w:b/>
          <w:sz w:val="24"/>
          <w:szCs w:val="24"/>
        </w:rPr>
      </w:pPr>
    </w:p>
    <w:p w:rsidR="00C72B20" w:rsidRPr="00A73243" w:rsidRDefault="00C72B20" w:rsidP="00C72B20">
      <w:pPr>
        <w:rPr>
          <w:rFonts w:ascii="Arial" w:hAnsi="Arial" w:cs="Arial"/>
          <w:b/>
          <w:sz w:val="24"/>
          <w:szCs w:val="24"/>
        </w:rPr>
      </w:pPr>
      <w:r w:rsidRPr="00A73243">
        <w:rPr>
          <w:rFonts w:ascii="Arial" w:hAnsi="Arial" w:cs="Arial"/>
          <w:b/>
          <w:sz w:val="24"/>
          <w:szCs w:val="24"/>
        </w:rPr>
        <w:t>How to use th</w:t>
      </w:r>
      <w:r w:rsidR="00F35F9F" w:rsidRPr="00A73243">
        <w:rPr>
          <w:rFonts w:ascii="Arial" w:hAnsi="Arial" w:cs="Arial"/>
          <w:b/>
          <w:sz w:val="24"/>
          <w:szCs w:val="24"/>
        </w:rPr>
        <w:t>is</w:t>
      </w:r>
      <w:r w:rsidRPr="00A73243">
        <w:rPr>
          <w:rFonts w:ascii="Arial" w:hAnsi="Arial" w:cs="Arial"/>
          <w:b/>
          <w:sz w:val="24"/>
          <w:szCs w:val="24"/>
        </w:rPr>
        <w:t xml:space="preserve"> risk register template </w:t>
      </w:r>
    </w:p>
    <w:p w:rsidR="00C72B20" w:rsidRPr="00A73243" w:rsidRDefault="00C72B20" w:rsidP="00C72B20">
      <w:pPr>
        <w:rPr>
          <w:rFonts w:ascii="Arial" w:hAnsi="Arial" w:cs="Arial"/>
          <w:sz w:val="24"/>
          <w:szCs w:val="24"/>
        </w:rPr>
      </w:pPr>
      <w:r w:rsidRPr="00A73243">
        <w:rPr>
          <w:rFonts w:ascii="Arial" w:hAnsi="Arial" w:cs="Arial"/>
          <w:sz w:val="24"/>
          <w:szCs w:val="24"/>
        </w:rPr>
        <w:t>Risk management is aimed at reducing the ‘gross level’ of risk identified to a ‘net level’ of risk, in other words, the risk that remains after appropriate action is taken. This template has been created to illustrate a practical way of recording in a risk register how this reduction in level might be achieved by the charity. In example 1, the gross risk is identified as the lack of return/diversity of investment portfolio and rated as high. After identifying the procedures for managing this risk, the net risk has been rated as medium. Trustees need to form a view as to the acceptability of the net risk that remains after management.</w:t>
      </w:r>
    </w:p>
    <w:p w:rsidR="00C72B20" w:rsidRPr="00A73243" w:rsidRDefault="00C72B20" w:rsidP="00C72B20">
      <w:pPr>
        <w:rPr>
          <w:rFonts w:ascii="Arial" w:hAnsi="Arial" w:cs="Arial"/>
          <w:sz w:val="24"/>
          <w:szCs w:val="24"/>
        </w:rPr>
      </w:pPr>
      <w:r w:rsidRPr="00A73243">
        <w:rPr>
          <w:rFonts w:ascii="Arial" w:hAnsi="Arial" w:cs="Arial"/>
          <w:sz w:val="24"/>
          <w:szCs w:val="24"/>
        </w:rPr>
        <w:t>The charitable sector is by its nature diverse. The nature of activities, funding base, reserves and structures will expose charities to differing areas of risk and levels of exposure. While the areas of risk identified in this template will deserve consideration by most charities, it is not an exhaustive list of all potential areas of risk and should not be a substitute for a charity undertaking its own processes for risk identification.</w:t>
      </w:r>
    </w:p>
    <w:p w:rsidR="00C72B20" w:rsidRPr="00A73243" w:rsidRDefault="00C72B20" w:rsidP="00C72B20">
      <w:pPr>
        <w:rPr>
          <w:rFonts w:ascii="Arial" w:hAnsi="Arial" w:cs="Arial"/>
          <w:sz w:val="24"/>
          <w:szCs w:val="24"/>
        </w:rPr>
      </w:pPr>
      <w:r w:rsidRPr="00A73243">
        <w:rPr>
          <w:rFonts w:ascii="Arial" w:hAnsi="Arial" w:cs="Arial"/>
          <w:sz w:val="24"/>
          <w:szCs w:val="24"/>
        </w:rPr>
        <w:t>The list of risk areas is intended to be an indication of some of the main areas of risk that may need to be considered by trustees. Illustrative examples of potential impact are given, as well as some illustrative examples of controls or action that might be taken to mitigate the risk or impact. Some risks will fall into more than one category. Although the list may be long, it is not exhaustive and there will be other risks that apply to a particular charity because of its own circumstances and activities.</w:t>
      </w:r>
    </w:p>
    <w:p w:rsidR="00F35F9F" w:rsidRPr="00C72B20" w:rsidRDefault="00F35F9F" w:rsidP="00C72B20"/>
    <w:p w:rsidR="00C72B20" w:rsidRPr="00A73243" w:rsidRDefault="00C72B20" w:rsidP="00C72B20">
      <w:pPr>
        <w:rPr>
          <w:rFonts w:ascii="Arial" w:hAnsi="Arial" w:cs="Arial"/>
          <w:b/>
          <w:sz w:val="24"/>
          <w:szCs w:val="24"/>
        </w:rPr>
      </w:pPr>
      <w:r w:rsidRPr="00A73243">
        <w:rPr>
          <w:rFonts w:ascii="Arial" w:hAnsi="Arial" w:cs="Arial"/>
          <w:b/>
          <w:sz w:val="24"/>
          <w:szCs w:val="24"/>
        </w:rPr>
        <w:t>Scoring should be done as follows:</w:t>
      </w:r>
    </w:p>
    <w:tbl>
      <w:tblPr>
        <w:tblStyle w:val="TableGrid"/>
        <w:tblW w:w="0" w:type="auto"/>
        <w:tblLook w:val="04A0" w:firstRow="1" w:lastRow="0" w:firstColumn="1" w:lastColumn="0" w:noHBand="0" w:noVBand="1"/>
      </w:tblPr>
      <w:tblGrid>
        <w:gridCol w:w="11182"/>
        <w:gridCol w:w="11182"/>
      </w:tblGrid>
      <w:tr w:rsidR="00C72B20" w:rsidTr="00753A88">
        <w:trPr>
          <w:trHeight w:val="6877"/>
        </w:trPr>
        <w:tc>
          <w:tcPr>
            <w:tcW w:w="11182" w:type="dxa"/>
            <w:tcBorders>
              <w:top w:val="nil"/>
              <w:left w:val="nil"/>
              <w:bottom w:val="nil"/>
              <w:right w:val="nil"/>
            </w:tcBorders>
          </w:tcPr>
          <w:p w:rsidR="00C72B20" w:rsidRPr="00A73243" w:rsidRDefault="00C72B20" w:rsidP="00C72B20">
            <w:pPr>
              <w:pStyle w:val="ListParagraph"/>
              <w:numPr>
                <w:ilvl w:val="0"/>
                <w:numId w:val="1"/>
              </w:numPr>
              <w:rPr>
                <w:rFonts w:ascii="Arial" w:hAnsi="Arial" w:cs="Arial"/>
                <w:sz w:val="24"/>
                <w:szCs w:val="24"/>
              </w:rPr>
            </w:pPr>
            <w:r w:rsidRPr="00A73243">
              <w:rPr>
                <w:rFonts w:ascii="Arial" w:hAnsi="Arial" w:cs="Arial"/>
                <w:sz w:val="24"/>
                <w:szCs w:val="24"/>
              </w:rPr>
              <w:t>Likelihood of occurrence – give a score of 1 to 5 (as shown on the bottom axis of the table)</w:t>
            </w:r>
          </w:p>
          <w:p w:rsidR="00C72B20" w:rsidRPr="00A73243" w:rsidRDefault="00C72B20" w:rsidP="00C72B20">
            <w:pPr>
              <w:pStyle w:val="ListParagraph"/>
              <w:numPr>
                <w:ilvl w:val="0"/>
                <w:numId w:val="1"/>
              </w:numPr>
              <w:rPr>
                <w:rFonts w:ascii="Arial" w:hAnsi="Arial" w:cs="Arial"/>
                <w:sz w:val="24"/>
                <w:szCs w:val="24"/>
              </w:rPr>
            </w:pPr>
            <w:r w:rsidRPr="00A73243">
              <w:rPr>
                <w:rFonts w:ascii="Arial" w:hAnsi="Arial" w:cs="Arial"/>
                <w:sz w:val="24"/>
                <w:szCs w:val="24"/>
              </w:rPr>
              <w:t>Severity of impact - give a score of 1 to 5 (as shown on the left hand axis of the table)</w:t>
            </w:r>
          </w:p>
          <w:p w:rsidR="00C72B20" w:rsidRPr="00A73243" w:rsidRDefault="00C72B20" w:rsidP="00C72B20">
            <w:pPr>
              <w:spacing w:after="160" w:line="259" w:lineRule="auto"/>
              <w:rPr>
                <w:rFonts w:ascii="Arial" w:hAnsi="Arial" w:cs="Arial"/>
                <w:sz w:val="24"/>
                <w:szCs w:val="24"/>
              </w:rPr>
            </w:pPr>
          </w:p>
          <w:p w:rsidR="00C72B20" w:rsidRPr="00A73243" w:rsidRDefault="00C72B20" w:rsidP="00C72B20">
            <w:pPr>
              <w:spacing w:after="160" w:line="259" w:lineRule="auto"/>
              <w:rPr>
                <w:rFonts w:ascii="Arial" w:hAnsi="Arial" w:cs="Arial"/>
                <w:sz w:val="24"/>
                <w:szCs w:val="24"/>
              </w:rPr>
            </w:pPr>
            <w:r w:rsidRPr="00A73243">
              <w:rPr>
                <w:rFonts w:ascii="Arial" w:hAnsi="Arial" w:cs="Arial"/>
                <w:sz w:val="24"/>
                <w:szCs w:val="24"/>
              </w:rPr>
              <w:t>These two scores are multiplied together to give the overall or ‘gross’ risk.</w:t>
            </w:r>
          </w:p>
          <w:p w:rsidR="00C72B20" w:rsidRPr="00A73243" w:rsidRDefault="00C72B20" w:rsidP="00C72B20">
            <w:pPr>
              <w:spacing w:after="160" w:line="259" w:lineRule="auto"/>
              <w:rPr>
                <w:rFonts w:ascii="Arial" w:hAnsi="Arial" w:cs="Arial"/>
                <w:sz w:val="24"/>
                <w:szCs w:val="24"/>
              </w:rPr>
            </w:pPr>
          </w:p>
          <w:p w:rsidR="00C72B20" w:rsidRPr="00A73243" w:rsidRDefault="00C72B20" w:rsidP="00C72B20">
            <w:pPr>
              <w:spacing w:after="160" w:line="259" w:lineRule="auto"/>
              <w:rPr>
                <w:rFonts w:ascii="Arial" w:hAnsi="Arial" w:cs="Arial"/>
                <w:sz w:val="24"/>
                <w:szCs w:val="24"/>
              </w:rPr>
            </w:pPr>
            <w:r w:rsidRPr="00A73243">
              <w:rPr>
                <w:rFonts w:ascii="Arial" w:hAnsi="Arial" w:cs="Arial"/>
                <w:sz w:val="24"/>
                <w:szCs w:val="24"/>
              </w:rPr>
              <w:t>Score of 11 or more – high extreme/catastrophic risks (Red)</w:t>
            </w:r>
          </w:p>
          <w:p w:rsidR="00C72B20" w:rsidRPr="00A73243" w:rsidRDefault="00C72B20" w:rsidP="00C72B20">
            <w:pPr>
              <w:spacing w:after="160" w:line="259" w:lineRule="auto"/>
              <w:rPr>
                <w:rFonts w:ascii="Arial" w:hAnsi="Arial" w:cs="Arial"/>
                <w:sz w:val="24"/>
                <w:szCs w:val="24"/>
              </w:rPr>
            </w:pPr>
            <w:r w:rsidRPr="00A73243">
              <w:rPr>
                <w:rFonts w:ascii="Arial" w:hAnsi="Arial" w:cs="Arial"/>
                <w:sz w:val="24"/>
                <w:szCs w:val="24"/>
              </w:rPr>
              <w:t>Score of 5 to 10 - moderate or major risks (Yellow)</w:t>
            </w:r>
          </w:p>
          <w:p w:rsidR="00C72B20" w:rsidRPr="00A73243" w:rsidRDefault="00C72B20" w:rsidP="00C72B20">
            <w:pPr>
              <w:spacing w:after="160" w:line="259" w:lineRule="auto"/>
              <w:rPr>
                <w:rFonts w:ascii="Arial" w:hAnsi="Arial" w:cs="Arial"/>
                <w:sz w:val="24"/>
                <w:szCs w:val="24"/>
              </w:rPr>
            </w:pPr>
            <w:r w:rsidRPr="00A73243">
              <w:rPr>
                <w:rFonts w:ascii="Arial" w:hAnsi="Arial" w:cs="Arial"/>
                <w:sz w:val="24"/>
                <w:szCs w:val="24"/>
              </w:rPr>
              <w:t xml:space="preserve">Score of 3 or 4 - minor risks (Blue) </w:t>
            </w:r>
          </w:p>
          <w:p w:rsidR="00C72B20" w:rsidRPr="00A73243" w:rsidRDefault="00C72B20" w:rsidP="00C72B20">
            <w:pPr>
              <w:spacing w:after="160" w:line="259" w:lineRule="auto"/>
              <w:rPr>
                <w:rFonts w:ascii="Arial" w:hAnsi="Arial" w:cs="Arial"/>
                <w:sz w:val="24"/>
                <w:szCs w:val="24"/>
              </w:rPr>
            </w:pPr>
            <w:r w:rsidRPr="00A73243">
              <w:rPr>
                <w:rFonts w:ascii="Arial" w:hAnsi="Arial" w:cs="Arial"/>
                <w:sz w:val="24"/>
                <w:szCs w:val="24"/>
              </w:rPr>
              <w:t>Score 2 or below – insignificant risks (Green)</w:t>
            </w:r>
          </w:p>
          <w:p w:rsidR="00C72B20" w:rsidRDefault="00C72B20" w:rsidP="00C72B20">
            <w:pPr>
              <w:rPr>
                <w:b/>
              </w:rPr>
            </w:pPr>
          </w:p>
        </w:tc>
        <w:tc>
          <w:tcPr>
            <w:tcW w:w="11182" w:type="dxa"/>
            <w:tcBorders>
              <w:top w:val="nil"/>
              <w:left w:val="nil"/>
              <w:bottom w:val="nil"/>
              <w:right w:val="nil"/>
            </w:tcBorders>
          </w:tcPr>
          <w:tbl>
            <w:tblPr>
              <w:tblStyle w:val="TableGrid"/>
              <w:tblW w:w="9781" w:type="dxa"/>
              <w:tblCellMar>
                <w:top w:w="198" w:type="dxa"/>
              </w:tblCellMar>
              <w:tblLook w:val="04A0" w:firstRow="1" w:lastRow="0" w:firstColumn="1" w:lastColumn="0" w:noHBand="0" w:noVBand="1"/>
            </w:tblPr>
            <w:tblGrid>
              <w:gridCol w:w="751"/>
              <w:gridCol w:w="2406"/>
              <w:gridCol w:w="408"/>
              <w:gridCol w:w="1253"/>
              <w:gridCol w:w="1222"/>
              <w:gridCol w:w="1238"/>
              <w:gridCol w:w="1251"/>
              <w:gridCol w:w="1252"/>
            </w:tblGrid>
            <w:tr w:rsidR="00C72B20" w:rsidRPr="00C72B20" w:rsidTr="00753A88">
              <w:trPr>
                <w:trHeight w:val="567"/>
              </w:trPr>
              <w:tc>
                <w:tcPr>
                  <w:tcW w:w="751" w:type="dxa"/>
                  <w:vMerge w:val="restart"/>
                  <w:tcBorders>
                    <w:top w:val="nil"/>
                    <w:left w:val="nil"/>
                    <w:bottom w:val="nil"/>
                  </w:tcBorders>
                  <w:textDirection w:val="btLr"/>
                </w:tcPr>
                <w:p w:rsidR="00C72B20" w:rsidRPr="00C72B20" w:rsidRDefault="00C72B20" w:rsidP="00C72B20">
                  <w:pPr>
                    <w:spacing w:after="160" w:line="259" w:lineRule="auto"/>
                    <w:jc w:val="center"/>
                    <w:rPr>
                      <w:sz w:val="28"/>
                      <w:szCs w:val="28"/>
                    </w:rPr>
                  </w:pPr>
                  <w:r w:rsidRPr="00C72B20">
                    <w:rPr>
                      <w:sz w:val="28"/>
                      <w:szCs w:val="28"/>
                    </w:rPr>
                    <w:t>IMPACT</w:t>
                  </w:r>
                </w:p>
              </w:tc>
              <w:tc>
                <w:tcPr>
                  <w:tcW w:w="2406" w:type="dxa"/>
                  <w:tcBorders>
                    <w:left w:val="nil"/>
                    <w:bottom w:val="single" w:sz="4" w:space="0" w:color="auto"/>
                    <w:right w:val="nil"/>
                  </w:tcBorders>
                  <w:vAlign w:val="bottom"/>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Extreme / Catastrophic</w:t>
                  </w:r>
                </w:p>
              </w:tc>
              <w:tc>
                <w:tcPr>
                  <w:tcW w:w="408" w:type="dxa"/>
                  <w:tcBorders>
                    <w:left w:val="nil"/>
                    <w:bottom w:val="single" w:sz="4" w:space="0" w:color="auto"/>
                  </w:tcBorders>
                  <w:vAlign w:val="center"/>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5</w:t>
                  </w:r>
                </w:p>
              </w:tc>
              <w:tc>
                <w:tcPr>
                  <w:tcW w:w="1253" w:type="dxa"/>
                  <w:shd w:val="clear" w:color="auto" w:fill="FFC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5</w:t>
                  </w:r>
                </w:p>
              </w:tc>
              <w:tc>
                <w:tcPr>
                  <w:tcW w:w="1222" w:type="dxa"/>
                  <w:shd w:val="clear" w:color="auto" w:fill="FFC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10</w:t>
                  </w:r>
                </w:p>
              </w:tc>
              <w:tc>
                <w:tcPr>
                  <w:tcW w:w="1238" w:type="dxa"/>
                  <w:shd w:val="clear" w:color="auto" w:fill="FF0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15</w:t>
                  </w:r>
                </w:p>
              </w:tc>
              <w:tc>
                <w:tcPr>
                  <w:tcW w:w="1251" w:type="dxa"/>
                  <w:shd w:val="clear" w:color="auto" w:fill="FF0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20</w:t>
                  </w:r>
                </w:p>
              </w:tc>
              <w:tc>
                <w:tcPr>
                  <w:tcW w:w="1252" w:type="dxa"/>
                  <w:shd w:val="clear" w:color="auto" w:fill="FF0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25</w:t>
                  </w:r>
                </w:p>
              </w:tc>
            </w:tr>
            <w:tr w:rsidR="00C72B20" w:rsidRPr="00C72B20" w:rsidTr="00753A88">
              <w:trPr>
                <w:trHeight w:val="567"/>
              </w:trPr>
              <w:tc>
                <w:tcPr>
                  <w:tcW w:w="751" w:type="dxa"/>
                  <w:vMerge/>
                  <w:tcBorders>
                    <w:left w:val="nil"/>
                    <w:bottom w:val="nil"/>
                  </w:tcBorders>
                </w:tcPr>
                <w:p w:rsidR="00C72B20" w:rsidRPr="00C72B20" w:rsidRDefault="00C72B20" w:rsidP="00C72B20">
                  <w:pPr>
                    <w:spacing w:after="160" w:line="259" w:lineRule="auto"/>
                    <w:rPr>
                      <w:sz w:val="28"/>
                      <w:szCs w:val="28"/>
                    </w:rPr>
                  </w:pPr>
                </w:p>
              </w:tc>
              <w:tc>
                <w:tcPr>
                  <w:tcW w:w="2406" w:type="dxa"/>
                  <w:tcBorders>
                    <w:left w:val="nil"/>
                    <w:bottom w:val="single" w:sz="4" w:space="0" w:color="auto"/>
                    <w:right w:val="nil"/>
                  </w:tcBorders>
                  <w:vAlign w:val="bottom"/>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Major</w:t>
                  </w:r>
                </w:p>
              </w:tc>
              <w:tc>
                <w:tcPr>
                  <w:tcW w:w="408" w:type="dxa"/>
                  <w:tcBorders>
                    <w:left w:val="nil"/>
                    <w:bottom w:val="single" w:sz="4" w:space="0" w:color="auto"/>
                  </w:tcBorders>
                  <w:vAlign w:val="center"/>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4</w:t>
                  </w:r>
                </w:p>
              </w:tc>
              <w:tc>
                <w:tcPr>
                  <w:tcW w:w="1253" w:type="dxa"/>
                  <w:shd w:val="clear" w:color="auto" w:fill="00B0F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4</w:t>
                  </w:r>
                </w:p>
              </w:tc>
              <w:tc>
                <w:tcPr>
                  <w:tcW w:w="1222" w:type="dxa"/>
                  <w:shd w:val="clear" w:color="auto" w:fill="FFC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8</w:t>
                  </w:r>
                </w:p>
              </w:tc>
              <w:tc>
                <w:tcPr>
                  <w:tcW w:w="1238" w:type="dxa"/>
                  <w:shd w:val="clear" w:color="auto" w:fill="FF0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12</w:t>
                  </w:r>
                </w:p>
              </w:tc>
              <w:tc>
                <w:tcPr>
                  <w:tcW w:w="1251" w:type="dxa"/>
                  <w:shd w:val="clear" w:color="auto" w:fill="FF0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16</w:t>
                  </w:r>
                </w:p>
              </w:tc>
              <w:tc>
                <w:tcPr>
                  <w:tcW w:w="1252" w:type="dxa"/>
                  <w:shd w:val="clear" w:color="auto" w:fill="FF0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20</w:t>
                  </w:r>
                </w:p>
              </w:tc>
            </w:tr>
            <w:tr w:rsidR="00C72B20" w:rsidRPr="00C72B20" w:rsidTr="00753A88">
              <w:trPr>
                <w:trHeight w:val="567"/>
              </w:trPr>
              <w:tc>
                <w:tcPr>
                  <w:tcW w:w="751" w:type="dxa"/>
                  <w:vMerge/>
                  <w:tcBorders>
                    <w:left w:val="nil"/>
                    <w:bottom w:val="nil"/>
                  </w:tcBorders>
                </w:tcPr>
                <w:p w:rsidR="00C72B20" w:rsidRPr="00C72B20" w:rsidRDefault="00C72B20" w:rsidP="00C72B20">
                  <w:pPr>
                    <w:spacing w:after="160" w:line="259" w:lineRule="auto"/>
                    <w:rPr>
                      <w:sz w:val="28"/>
                      <w:szCs w:val="28"/>
                    </w:rPr>
                  </w:pPr>
                </w:p>
              </w:tc>
              <w:tc>
                <w:tcPr>
                  <w:tcW w:w="2406" w:type="dxa"/>
                  <w:tcBorders>
                    <w:left w:val="nil"/>
                    <w:bottom w:val="single" w:sz="4" w:space="0" w:color="auto"/>
                    <w:right w:val="nil"/>
                  </w:tcBorders>
                  <w:vAlign w:val="bottom"/>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Moderate</w:t>
                  </w:r>
                </w:p>
              </w:tc>
              <w:tc>
                <w:tcPr>
                  <w:tcW w:w="408" w:type="dxa"/>
                  <w:tcBorders>
                    <w:left w:val="nil"/>
                    <w:bottom w:val="single" w:sz="4" w:space="0" w:color="auto"/>
                  </w:tcBorders>
                  <w:vAlign w:val="center"/>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3</w:t>
                  </w:r>
                </w:p>
              </w:tc>
              <w:tc>
                <w:tcPr>
                  <w:tcW w:w="1253" w:type="dxa"/>
                  <w:shd w:val="clear" w:color="auto" w:fill="00B0F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3</w:t>
                  </w:r>
                </w:p>
              </w:tc>
              <w:tc>
                <w:tcPr>
                  <w:tcW w:w="1222" w:type="dxa"/>
                  <w:shd w:val="clear" w:color="auto" w:fill="FFC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6</w:t>
                  </w:r>
                </w:p>
              </w:tc>
              <w:tc>
                <w:tcPr>
                  <w:tcW w:w="1238" w:type="dxa"/>
                  <w:shd w:val="clear" w:color="auto" w:fill="FFC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9</w:t>
                  </w:r>
                </w:p>
              </w:tc>
              <w:tc>
                <w:tcPr>
                  <w:tcW w:w="1251" w:type="dxa"/>
                  <w:shd w:val="clear" w:color="auto" w:fill="FF0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12</w:t>
                  </w:r>
                </w:p>
              </w:tc>
              <w:tc>
                <w:tcPr>
                  <w:tcW w:w="1252" w:type="dxa"/>
                  <w:shd w:val="clear" w:color="auto" w:fill="FF0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15</w:t>
                  </w:r>
                </w:p>
              </w:tc>
            </w:tr>
            <w:tr w:rsidR="00C72B20" w:rsidRPr="00C72B20" w:rsidTr="00753A88">
              <w:trPr>
                <w:trHeight w:val="567"/>
              </w:trPr>
              <w:tc>
                <w:tcPr>
                  <w:tcW w:w="751" w:type="dxa"/>
                  <w:vMerge/>
                  <w:tcBorders>
                    <w:left w:val="nil"/>
                    <w:bottom w:val="nil"/>
                  </w:tcBorders>
                </w:tcPr>
                <w:p w:rsidR="00C72B20" w:rsidRPr="00C72B20" w:rsidRDefault="00C72B20" w:rsidP="00C72B20">
                  <w:pPr>
                    <w:spacing w:after="160" w:line="259" w:lineRule="auto"/>
                    <w:rPr>
                      <w:sz w:val="28"/>
                      <w:szCs w:val="28"/>
                    </w:rPr>
                  </w:pPr>
                </w:p>
              </w:tc>
              <w:tc>
                <w:tcPr>
                  <w:tcW w:w="2406" w:type="dxa"/>
                  <w:tcBorders>
                    <w:left w:val="nil"/>
                    <w:bottom w:val="single" w:sz="4" w:space="0" w:color="auto"/>
                    <w:right w:val="nil"/>
                  </w:tcBorders>
                  <w:vAlign w:val="bottom"/>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Minor</w:t>
                  </w:r>
                </w:p>
              </w:tc>
              <w:tc>
                <w:tcPr>
                  <w:tcW w:w="408" w:type="dxa"/>
                  <w:tcBorders>
                    <w:left w:val="nil"/>
                    <w:bottom w:val="single" w:sz="4" w:space="0" w:color="auto"/>
                  </w:tcBorders>
                  <w:vAlign w:val="center"/>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2</w:t>
                  </w:r>
                </w:p>
              </w:tc>
              <w:tc>
                <w:tcPr>
                  <w:tcW w:w="1253" w:type="dxa"/>
                  <w:shd w:val="clear" w:color="auto" w:fill="92D05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2</w:t>
                  </w:r>
                </w:p>
              </w:tc>
              <w:tc>
                <w:tcPr>
                  <w:tcW w:w="1222" w:type="dxa"/>
                  <w:shd w:val="clear" w:color="auto" w:fill="00B0F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4</w:t>
                  </w:r>
                </w:p>
              </w:tc>
              <w:tc>
                <w:tcPr>
                  <w:tcW w:w="1238" w:type="dxa"/>
                  <w:shd w:val="clear" w:color="auto" w:fill="FFC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6</w:t>
                  </w:r>
                </w:p>
              </w:tc>
              <w:tc>
                <w:tcPr>
                  <w:tcW w:w="1251" w:type="dxa"/>
                  <w:shd w:val="clear" w:color="auto" w:fill="FFC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8</w:t>
                  </w:r>
                </w:p>
              </w:tc>
              <w:tc>
                <w:tcPr>
                  <w:tcW w:w="1252" w:type="dxa"/>
                  <w:shd w:val="clear" w:color="auto" w:fill="FFC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10</w:t>
                  </w:r>
                </w:p>
              </w:tc>
            </w:tr>
            <w:tr w:rsidR="00C72B20" w:rsidRPr="00C72B20" w:rsidTr="00753A88">
              <w:trPr>
                <w:trHeight w:val="567"/>
              </w:trPr>
              <w:tc>
                <w:tcPr>
                  <w:tcW w:w="751" w:type="dxa"/>
                  <w:vMerge/>
                  <w:tcBorders>
                    <w:left w:val="nil"/>
                    <w:bottom w:val="nil"/>
                  </w:tcBorders>
                </w:tcPr>
                <w:p w:rsidR="00C72B20" w:rsidRPr="00C72B20" w:rsidRDefault="00C72B20" w:rsidP="00C72B20">
                  <w:pPr>
                    <w:spacing w:after="160" w:line="259" w:lineRule="auto"/>
                    <w:rPr>
                      <w:sz w:val="28"/>
                      <w:szCs w:val="28"/>
                    </w:rPr>
                  </w:pPr>
                </w:p>
              </w:tc>
              <w:tc>
                <w:tcPr>
                  <w:tcW w:w="2406" w:type="dxa"/>
                  <w:tcBorders>
                    <w:left w:val="nil"/>
                    <w:bottom w:val="single" w:sz="4" w:space="0" w:color="auto"/>
                    <w:right w:val="nil"/>
                  </w:tcBorders>
                  <w:vAlign w:val="bottom"/>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Insignificant</w:t>
                  </w:r>
                </w:p>
              </w:tc>
              <w:tc>
                <w:tcPr>
                  <w:tcW w:w="408" w:type="dxa"/>
                  <w:tcBorders>
                    <w:left w:val="nil"/>
                    <w:bottom w:val="single" w:sz="4" w:space="0" w:color="auto"/>
                  </w:tcBorders>
                  <w:vAlign w:val="center"/>
                </w:tcPr>
                <w:p w:rsidR="00C72B20" w:rsidRPr="00C729D0" w:rsidRDefault="00C72B20" w:rsidP="00C72B20">
                  <w:pPr>
                    <w:spacing w:after="160" w:line="259" w:lineRule="auto"/>
                    <w:rPr>
                      <w:rFonts w:ascii="Arial" w:hAnsi="Arial" w:cs="Arial"/>
                      <w:sz w:val="24"/>
                      <w:szCs w:val="24"/>
                    </w:rPr>
                  </w:pPr>
                  <w:r w:rsidRPr="00C729D0">
                    <w:rPr>
                      <w:rFonts w:ascii="Arial" w:hAnsi="Arial" w:cs="Arial"/>
                      <w:sz w:val="24"/>
                      <w:szCs w:val="24"/>
                    </w:rPr>
                    <w:t>1</w:t>
                  </w:r>
                </w:p>
              </w:tc>
              <w:tc>
                <w:tcPr>
                  <w:tcW w:w="1253" w:type="dxa"/>
                  <w:tcBorders>
                    <w:bottom w:val="single" w:sz="4" w:space="0" w:color="auto"/>
                  </w:tcBorders>
                  <w:shd w:val="clear" w:color="auto" w:fill="92D05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1</w:t>
                  </w:r>
                </w:p>
              </w:tc>
              <w:tc>
                <w:tcPr>
                  <w:tcW w:w="1222" w:type="dxa"/>
                  <w:tcBorders>
                    <w:bottom w:val="single" w:sz="4" w:space="0" w:color="auto"/>
                  </w:tcBorders>
                  <w:shd w:val="clear" w:color="auto" w:fill="92D05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2</w:t>
                  </w:r>
                </w:p>
              </w:tc>
              <w:tc>
                <w:tcPr>
                  <w:tcW w:w="1238" w:type="dxa"/>
                  <w:tcBorders>
                    <w:bottom w:val="single" w:sz="4" w:space="0" w:color="auto"/>
                  </w:tcBorders>
                  <w:shd w:val="clear" w:color="auto" w:fill="00B0F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3</w:t>
                  </w:r>
                </w:p>
              </w:tc>
              <w:tc>
                <w:tcPr>
                  <w:tcW w:w="1251" w:type="dxa"/>
                  <w:tcBorders>
                    <w:bottom w:val="single" w:sz="4" w:space="0" w:color="auto"/>
                  </w:tcBorders>
                  <w:shd w:val="clear" w:color="auto" w:fill="00B0F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4</w:t>
                  </w:r>
                </w:p>
              </w:tc>
              <w:tc>
                <w:tcPr>
                  <w:tcW w:w="1252" w:type="dxa"/>
                  <w:tcBorders>
                    <w:bottom w:val="single" w:sz="4" w:space="0" w:color="auto"/>
                  </w:tcBorders>
                  <w:shd w:val="clear" w:color="auto" w:fill="FFC000"/>
                  <w:vAlign w:val="center"/>
                </w:tcPr>
                <w:p w:rsidR="00C72B20" w:rsidRPr="00C729D0" w:rsidRDefault="00C72B20" w:rsidP="00C729D0">
                  <w:pPr>
                    <w:spacing w:after="160" w:line="259" w:lineRule="auto"/>
                    <w:jc w:val="center"/>
                    <w:rPr>
                      <w:rFonts w:ascii="Arial" w:hAnsi="Arial" w:cs="Arial"/>
                      <w:b/>
                      <w:sz w:val="24"/>
                      <w:szCs w:val="24"/>
                    </w:rPr>
                  </w:pPr>
                  <w:r w:rsidRPr="00C729D0">
                    <w:rPr>
                      <w:rFonts w:ascii="Arial" w:hAnsi="Arial" w:cs="Arial"/>
                      <w:b/>
                      <w:sz w:val="24"/>
                      <w:szCs w:val="24"/>
                    </w:rPr>
                    <w:t>5</w:t>
                  </w:r>
                </w:p>
              </w:tc>
            </w:tr>
            <w:tr w:rsidR="00C72B20" w:rsidRPr="00C72B20" w:rsidTr="00753A88">
              <w:tc>
                <w:tcPr>
                  <w:tcW w:w="751" w:type="dxa"/>
                  <w:tcBorders>
                    <w:top w:val="nil"/>
                    <w:left w:val="nil"/>
                    <w:bottom w:val="nil"/>
                    <w:right w:val="nil"/>
                  </w:tcBorders>
                </w:tcPr>
                <w:p w:rsidR="00C72B20" w:rsidRPr="00C72B20" w:rsidRDefault="00C72B20" w:rsidP="00C72B20">
                  <w:pPr>
                    <w:spacing w:after="160" w:line="259" w:lineRule="auto"/>
                    <w:rPr>
                      <w:sz w:val="28"/>
                      <w:szCs w:val="28"/>
                    </w:rPr>
                  </w:pPr>
                </w:p>
              </w:tc>
              <w:tc>
                <w:tcPr>
                  <w:tcW w:w="2406" w:type="dxa"/>
                  <w:tcBorders>
                    <w:top w:val="nil"/>
                    <w:left w:val="nil"/>
                    <w:bottom w:val="nil"/>
                    <w:right w:val="nil"/>
                  </w:tcBorders>
                </w:tcPr>
                <w:p w:rsidR="00C72B20" w:rsidRPr="00C729D0" w:rsidRDefault="00C72B20" w:rsidP="00C72B20">
                  <w:pPr>
                    <w:spacing w:after="160" w:line="259" w:lineRule="auto"/>
                    <w:rPr>
                      <w:rFonts w:ascii="Arial" w:hAnsi="Arial" w:cs="Arial"/>
                      <w:sz w:val="24"/>
                      <w:szCs w:val="24"/>
                    </w:rPr>
                  </w:pPr>
                </w:p>
              </w:tc>
              <w:tc>
                <w:tcPr>
                  <w:tcW w:w="408" w:type="dxa"/>
                  <w:tcBorders>
                    <w:top w:val="nil"/>
                    <w:left w:val="nil"/>
                    <w:bottom w:val="nil"/>
                  </w:tcBorders>
                </w:tcPr>
                <w:p w:rsidR="00C72B20" w:rsidRPr="00C729D0" w:rsidRDefault="00C72B20" w:rsidP="00C72B20">
                  <w:pPr>
                    <w:spacing w:after="160" w:line="259" w:lineRule="auto"/>
                    <w:rPr>
                      <w:rFonts w:ascii="Arial" w:hAnsi="Arial" w:cs="Arial"/>
                      <w:sz w:val="24"/>
                      <w:szCs w:val="24"/>
                    </w:rPr>
                  </w:pPr>
                </w:p>
              </w:tc>
              <w:tc>
                <w:tcPr>
                  <w:tcW w:w="1253" w:type="dxa"/>
                  <w:tcBorders>
                    <w:top w:val="nil"/>
                    <w:bottom w:val="single" w:sz="4" w:space="0" w:color="auto"/>
                  </w:tcBorders>
                </w:tcPr>
                <w:p w:rsidR="00753A88" w:rsidRDefault="00753A88" w:rsidP="00C729D0">
                  <w:pPr>
                    <w:spacing w:after="160" w:line="259" w:lineRule="auto"/>
                    <w:jc w:val="center"/>
                    <w:rPr>
                      <w:rFonts w:ascii="Arial" w:hAnsi="Arial" w:cs="Arial"/>
                      <w:sz w:val="24"/>
                      <w:szCs w:val="24"/>
                    </w:rPr>
                  </w:pPr>
                  <w:r>
                    <w:rPr>
                      <w:rFonts w:ascii="Arial" w:hAnsi="Arial" w:cs="Arial"/>
                      <w:sz w:val="24"/>
                      <w:szCs w:val="24"/>
                    </w:rPr>
                    <w:t>1</w:t>
                  </w:r>
                </w:p>
                <w:p w:rsidR="00C72B20" w:rsidRPr="00C729D0" w:rsidRDefault="00C72B20" w:rsidP="00C729D0">
                  <w:pPr>
                    <w:spacing w:after="160" w:line="259" w:lineRule="auto"/>
                    <w:jc w:val="center"/>
                    <w:rPr>
                      <w:rFonts w:ascii="Arial" w:hAnsi="Arial" w:cs="Arial"/>
                      <w:sz w:val="24"/>
                      <w:szCs w:val="24"/>
                    </w:rPr>
                  </w:pPr>
                  <w:r w:rsidRPr="00C729D0">
                    <w:rPr>
                      <w:rFonts w:ascii="Arial" w:hAnsi="Arial" w:cs="Arial"/>
                      <w:sz w:val="24"/>
                      <w:szCs w:val="24"/>
                    </w:rPr>
                    <w:t>Remote</w:t>
                  </w:r>
                </w:p>
              </w:tc>
              <w:tc>
                <w:tcPr>
                  <w:tcW w:w="1222" w:type="dxa"/>
                  <w:tcBorders>
                    <w:top w:val="nil"/>
                    <w:bottom w:val="single" w:sz="4" w:space="0" w:color="auto"/>
                  </w:tcBorders>
                </w:tcPr>
                <w:p w:rsidR="00753A88" w:rsidRDefault="00753A88" w:rsidP="00C729D0">
                  <w:pPr>
                    <w:spacing w:after="160" w:line="259" w:lineRule="auto"/>
                    <w:jc w:val="center"/>
                    <w:rPr>
                      <w:rFonts w:ascii="Arial" w:hAnsi="Arial" w:cs="Arial"/>
                      <w:sz w:val="24"/>
                      <w:szCs w:val="24"/>
                    </w:rPr>
                  </w:pPr>
                  <w:r>
                    <w:rPr>
                      <w:rFonts w:ascii="Arial" w:hAnsi="Arial" w:cs="Arial"/>
                      <w:sz w:val="24"/>
                      <w:szCs w:val="24"/>
                    </w:rPr>
                    <w:t>2</w:t>
                  </w:r>
                </w:p>
                <w:p w:rsidR="00C72B20" w:rsidRPr="00C729D0" w:rsidRDefault="00C72B20" w:rsidP="00C729D0">
                  <w:pPr>
                    <w:spacing w:after="160" w:line="259" w:lineRule="auto"/>
                    <w:jc w:val="center"/>
                    <w:rPr>
                      <w:rFonts w:ascii="Arial" w:hAnsi="Arial" w:cs="Arial"/>
                      <w:sz w:val="24"/>
                      <w:szCs w:val="24"/>
                    </w:rPr>
                  </w:pPr>
                  <w:r w:rsidRPr="00C729D0">
                    <w:rPr>
                      <w:rFonts w:ascii="Arial" w:hAnsi="Arial" w:cs="Arial"/>
                      <w:sz w:val="24"/>
                      <w:szCs w:val="24"/>
                    </w:rPr>
                    <w:t>Unlikely</w:t>
                  </w:r>
                </w:p>
              </w:tc>
              <w:tc>
                <w:tcPr>
                  <w:tcW w:w="1238" w:type="dxa"/>
                  <w:tcBorders>
                    <w:top w:val="nil"/>
                    <w:bottom w:val="single" w:sz="4" w:space="0" w:color="auto"/>
                  </w:tcBorders>
                </w:tcPr>
                <w:p w:rsidR="00753A88" w:rsidRDefault="00753A88" w:rsidP="00C729D0">
                  <w:pPr>
                    <w:spacing w:after="160" w:line="259" w:lineRule="auto"/>
                    <w:jc w:val="center"/>
                    <w:rPr>
                      <w:rFonts w:ascii="Arial" w:hAnsi="Arial" w:cs="Arial"/>
                      <w:sz w:val="24"/>
                      <w:szCs w:val="24"/>
                    </w:rPr>
                  </w:pPr>
                  <w:r>
                    <w:rPr>
                      <w:rFonts w:ascii="Arial" w:hAnsi="Arial" w:cs="Arial"/>
                      <w:sz w:val="24"/>
                      <w:szCs w:val="24"/>
                    </w:rPr>
                    <w:t>3</w:t>
                  </w:r>
                </w:p>
                <w:p w:rsidR="00C72B20" w:rsidRPr="00C729D0" w:rsidRDefault="00C72B20" w:rsidP="00753A88">
                  <w:pPr>
                    <w:spacing w:after="160" w:line="259" w:lineRule="auto"/>
                    <w:rPr>
                      <w:rFonts w:ascii="Arial" w:hAnsi="Arial" w:cs="Arial"/>
                      <w:sz w:val="24"/>
                      <w:szCs w:val="24"/>
                    </w:rPr>
                  </w:pPr>
                  <w:r w:rsidRPr="00C729D0">
                    <w:rPr>
                      <w:rFonts w:ascii="Arial" w:hAnsi="Arial" w:cs="Arial"/>
                      <w:sz w:val="24"/>
                      <w:szCs w:val="24"/>
                    </w:rPr>
                    <w:t>Possible</w:t>
                  </w:r>
                </w:p>
              </w:tc>
              <w:tc>
                <w:tcPr>
                  <w:tcW w:w="1251" w:type="dxa"/>
                  <w:tcBorders>
                    <w:top w:val="nil"/>
                    <w:bottom w:val="single" w:sz="4" w:space="0" w:color="auto"/>
                  </w:tcBorders>
                </w:tcPr>
                <w:p w:rsidR="00753A88" w:rsidRDefault="00753A88" w:rsidP="00C729D0">
                  <w:pPr>
                    <w:spacing w:after="160" w:line="259" w:lineRule="auto"/>
                    <w:jc w:val="center"/>
                    <w:rPr>
                      <w:rFonts w:ascii="Arial" w:hAnsi="Arial" w:cs="Arial"/>
                      <w:sz w:val="24"/>
                      <w:szCs w:val="24"/>
                    </w:rPr>
                  </w:pPr>
                  <w:r>
                    <w:rPr>
                      <w:rFonts w:ascii="Arial" w:hAnsi="Arial" w:cs="Arial"/>
                      <w:sz w:val="24"/>
                      <w:szCs w:val="24"/>
                    </w:rPr>
                    <w:t>4</w:t>
                  </w:r>
                </w:p>
                <w:p w:rsidR="00C72B20" w:rsidRPr="00C729D0" w:rsidRDefault="00C72B20" w:rsidP="00C729D0">
                  <w:pPr>
                    <w:spacing w:after="160" w:line="259" w:lineRule="auto"/>
                    <w:jc w:val="center"/>
                    <w:rPr>
                      <w:rFonts w:ascii="Arial" w:hAnsi="Arial" w:cs="Arial"/>
                      <w:sz w:val="24"/>
                      <w:szCs w:val="24"/>
                    </w:rPr>
                  </w:pPr>
                  <w:r w:rsidRPr="00C729D0">
                    <w:rPr>
                      <w:rFonts w:ascii="Arial" w:hAnsi="Arial" w:cs="Arial"/>
                      <w:sz w:val="24"/>
                      <w:szCs w:val="24"/>
                    </w:rPr>
                    <w:t>Probable</w:t>
                  </w:r>
                </w:p>
              </w:tc>
              <w:tc>
                <w:tcPr>
                  <w:tcW w:w="1252" w:type="dxa"/>
                  <w:tcBorders>
                    <w:top w:val="nil"/>
                    <w:bottom w:val="single" w:sz="4" w:space="0" w:color="auto"/>
                  </w:tcBorders>
                </w:tcPr>
                <w:p w:rsidR="00753A88" w:rsidRDefault="00753A88" w:rsidP="00C729D0">
                  <w:pPr>
                    <w:spacing w:after="160" w:line="259" w:lineRule="auto"/>
                    <w:jc w:val="center"/>
                    <w:rPr>
                      <w:rFonts w:ascii="Arial" w:hAnsi="Arial" w:cs="Arial"/>
                      <w:sz w:val="24"/>
                      <w:szCs w:val="24"/>
                    </w:rPr>
                  </w:pPr>
                  <w:r>
                    <w:rPr>
                      <w:rFonts w:ascii="Arial" w:hAnsi="Arial" w:cs="Arial"/>
                      <w:sz w:val="24"/>
                      <w:szCs w:val="24"/>
                    </w:rPr>
                    <w:t>5</w:t>
                  </w:r>
                </w:p>
                <w:p w:rsidR="00C72B20" w:rsidRPr="00C729D0" w:rsidRDefault="00C72B20" w:rsidP="00C729D0">
                  <w:pPr>
                    <w:spacing w:after="160" w:line="259" w:lineRule="auto"/>
                    <w:jc w:val="center"/>
                    <w:rPr>
                      <w:rFonts w:ascii="Arial" w:hAnsi="Arial" w:cs="Arial"/>
                      <w:sz w:val="24"/>
                      <w:szCs w:val="24"/>
                    </w:rPr>
                  </w:pPr>
                  <w:r w:rsidRPr="00C729D0">
                    <w:rPr>
                      <w:rFonts w:ascii="Arial" w:hAnsi="Arial" w:cs="Arial"/>
                      <w:sz w:val="24"/>
                      <w:szCs w:val="24"/>
                    </w:rPr>
                    <w:t>Highly Probable</w:t>
                  </w:r>
                </w:p>
              </w:tc>
            </w:tr>
            <w:tr w:rsidR="00C72B20" w:rsidRPr="00C72B20" w:rsidTr="00753A88">
              <w:tc>
                <w:tcPr>
                  <w:tcW w:w="751" w:type="dxa"/>
                  <w:tcBorders>
                    <w:top w:val="nil"/>
                    <w:left w:val="nil"/>
                    <w:bottom w:val="nil"/>
                    <w:right w:val="nil"/>
                  </w:tcBorders>
                </w:tcPr>
                <w:p w:rsidR="00C72B20" w:rsidRPr="00C72B20" w:rsidRDefault="00C72B20" w:rsidP="00C72B20">
                  <w:pPr>
                    <w:spacing w:after="160" w:line="259" w:lineRule="auto"/>
                    <w:rPr>
                      <w:sz w:val="28"/>
                      <w:szCs w:val="28"/>
                    </w:rPr>
                  </w:pPr>
                </w:p>
              </w:tc>
              <w:tc>
                <w:tcPr>
                  <w:tcW w:w="2406" w:type="dxa"/>
                  <w:tcBorders>
                    <w:top w:val="nil"/>
                    <w:left w:val="nil"/>
                    <w:bottom w:val="nil"/>
                    <w:right w:val="nil"/>
                  </w:tcBorders>
                </w:tcPr>
                <w:p w:rsidR="00C72B20" w:rsidRPr="00C72B20" w:rsidRDefault="00C72B20" w:rsidP="00C72B20">
                  <w:pPr>
                    <w:spacing w:after="160" w:line="259" w:lineRule="auto"/>
                  </w:pPr>
                </w:p>
              </w:tc>
              <w:tc>
                <w:tcPr>
                  <w:tcW w:w="408" w:type="dxa"/>
                  <w:tcBorders>
                    <w:top w:val="nil"/>
                    <w:left w:val="nil"/>
                    <w:bottom w:val="nil"/>
                    <w:right w:val="nil"/>
                  </w:tcBorders>
                </w:tcPr>
                <w:p w:rsidR="00C72B20" w:rsidRPr="00C72B20" w:rsidRDefault="00C72B20" w:rsidP="00C72B20">
                  <w:pPr>
                    <w:spacing w:after="160" w:line="259" w:lineRule="auto"/>
                  </w:pPr>
                </w:p>
              </w:tc>
              <w:tc>
                <w:tcPr>
                  <w:tcW w:w="6216" w:type="dxa"/>
                  <w:gridSpan w:val="5"/>
                  <w:tcBorders>
                    <w:left w:val="nil"/>
                    <w:bottom w:val="nil"/>
                    <w:right w:val="nil"/>
                  </w:tcBorders>
                </w:tcPr>
                <w:p w:rsidR="00C72B20" w:rsidRPr="00C72B20" w:rsidRDefault="00C72B20" w:rsidP="00C72B20">
                  <w:pPr>
                    <w:spacing w:after="160" w:line="259" w:lineRule="auto"/>
                    <w:rPr>
                      <w:sz w:val="16"/>
                      <w:szCs w:val="16"/>
                    </w:rPr>
                  </w:pPr>
                </w:p>
                <w:p w:rsidR="00C72B20" w:rsidRPr="00C72B20" w:rsidRDefault="00C72B20" w:rsidP="00C72B20">
                  <w:pPr>
                    <w:spacing w:after="160" w:line="259" w:lineRule="auto"/>
                    <w:jc w:val="center"/>
                    <w:rPr>
                      <w:sz w:val="28"/>
                      <w:szCs w:val="28"/>
                    </w:rPr>
                  </w:pPr>
                  <w:r w:rsidRPr="00C72B20">
                    <w:rPr>
                      <w:sz w:val="28"/>
                      <w:szCs w:val="28"/>
                    </w:rPr>
                    <w:t>LIKELIHOOD</w:t>
                  </w:r>
                </w:p>
              </w:tc>
            </w:tr>
          </w:tbl>
          <w:p w:rsidR="00C72B20" w:rsidRDefault="00C72B20" w:rsidP="00C72B20">
            <w:pPr>
              <w:rPr>
                <w:b/>
              </w:rPr>
            </w:pPr>
          </w:p>
        </w:tc>
      </w:tr>
    </w:tbl>
    <w:p w:rsidR="00C72B20" w:rsidRPr="00A73243" w:rsidRDefault="00C72B20">
      <w:pPr>
        <w:rPr>
          <w:rFonts w:ascii="Arial" w:hAnsi="Arial" w:cs="Arial"/>
          <w:b/>
          <w:sz w:val="24"/>
          <w:szCs w:val="24"/>
        </w:rPr>
      </w:pPr>
      <w:r w:rsidRPr="00A73243">
        <w:rPr>
          <w:rFonts w:ascii="Arial" w:hAnsi="Arial" w:cs="Arial"/>
          <w:b/>
          <w:sz w:val="24"/>
          <w:szCs w:val="24"/>
        </w:rPr>
        <w:t>The next page (page 2) is a risk register which contains some examples to demonstrate how to use the template.</w:t>
      </w:r>
    </w:p>
    <w:p w:rsidR="00F35F9F" w:rsidRPr="00A73243" w:rsidRDefault="00F35F9F">
      <w:pPr>
        <w:rPr>
          <w:rFonts w:ascii="Arial" w:hAnsi="Arial" w:cs="Arial"/>
          <w:b/>
          <w:sz w:val="24"/>
          <w:szCs w:val="24"/>
        </w:rPr>
      </w:pPr>
      <w:r w:rsidRPr="00A73243">
        <w:rPr>
          <w:rFonts w:ascii="Arial" w:hAnsi="Arial" w:cs="Arial"/>
          <w:b/>
          <w:sz w:val="24"/>
          <w:szCs w:val="24"/>
        </w:rPr>
        <w:t xml:space="preserve">Page 3 shows a blank </w:t>
      </w:r>
      <w:r w:rsidR="00C72B20" w:rsidRPr="00A73243">
        <w:rPr>
          <w:rFonts w:ascii="Arial" w:hAnsi="Arial" w:cs="Arial"/>
          <w:b/>
          <w:sz w:val="24"/>
          <w:szCs w:val="24"/>
        </w:rPr>
        <w:t>template for you to use to adapt to</w:t>
      </w:r>
      <w:r w:rsidRPr="00A73243">
        <w:rPr>
          <w:rFonts w:ascii="Arial" w:hAnsi="Arial" w:cs="Arial"/>
          <w:b/>
          <w:sz w:val="24"/>
          <w:szCs w:val="24"/>
        </w:rPr>
        <w:t xml:space="preserve"> suit your organisation’s needs.</w:t>
      </w:r>
    </w:p>
    <w:p w:rsidR="00C72B20" w:rsidRPr="00A73243" w:rsidRDefault="00F35F9F">
      <w:pPr>
        <w:rPr>
          <w:rFonts w:ascii="Arial" w:hAnsi="Arial" w:cs="Arial"/>
          <w:b/>
          <w:sz w:val="24"/>
          <w:szCs w:val="24"/>
        </w:rPr>
      </w:pPr>
      <w:r w:rsidRPr="00A73243">
        <w:rPr>
          <w:rFonts w:ascii="Arial" w:hAnsi="Arial" w:cs="Arial"/>
          <w:b/>
          <w:sz w:val="24"/>
          <w:szCs w:val="24"/>
        </w:rPr>
        <w:t>The pages which follow (page 4 onwards) list risk areas that may need to be considered by trustees together with examples of potential impact and controls or action that might be taken to mitigate the risk or impact.</w:t>
      </w:r>
    </w:p>
    <w:p w:rsidR="00C72B20" w:rsidRPr="00A73243" w:rsidRDefault="00C72B20">
      <w:pPr>
        <w:rPr>
          <w:rFonts w:ascii="Arial" w:hAnsi="Arial" w:cs="Arial"/>
          <w:sz w:val="24"/>
          <w:szCs w:val="24"/>
        </w:rPr>
      </w:pPr>
      <w:r w:rsidRPr="00A73243">
        <w:rPr>
          <w:rFonts w:ascii="Arial" w:hAnsi="Arial" w:cs="Arial"/>
          <w:sz w:val="24"/>
          <w:szCs w:val="24"/>
        </w:rPr>
        <w:t>This template is based on the Charity Commission guidance CC26 “Charities and Risk</w:t>
      </w:r>
      <w:r w:rsidR="00F35F9F" w:rsidRPr="00A73243">
        <w:rPr>
          <w:rFonts w:ascii="Arial" w:hAnsi="Arial" w:cs="Arial"/>
          <w:sz w:val="24"/>
          <w:szCs w:val="24"/>
        </w:rPr>
        <w:t xml:space="preserve"> Management</w:t>
      </w:r>
      <w:r w:rsidRPr="00A73243">
        <w:rPr>
          <w:rFonts w:ascii="Arial" w:hAnsi="Arial" w:cs="Arial"/>
          <w:sz w:val="24"/>
          <w:szCs w:val="24"/>
        </w:rPr>
        <w:t xml:space="preserve">” </w:t>
      </w:r>
      <w:hyperlink r:id="rId7" w:history="1">
        <w:r w:rsidRPr="00A73243">
          <w:rPr>
            <w:rStyle w:val="Hyperlink"/>
            <w:rFonts w:ascii="Arial" w:hAnsi="Arial" w:cs="Arial"/>
            <w:sz w:val="24"/>
            <w:szCs w:val="24"/>
          </w:rPr>
          <w:t>https://www.gov.uk/government/publications/charities-and-risk-management-cc26</w:t>
        </w:r>
      </w:hyperlink>
      <w:r w:rsidRPr="00A73243">
        <w:rPr>
          <w:rFonts w:ascii="Arial" w:hAnsi="Arial" w:cs="Arial"/>
          <w:sz w:val="24"/>
          <w:szCs w:val="24"/>
        </w:rPr>
        <w:t xml:space="preserve"> </w:t>
      </w:r>
    </w:p>
    <w:p w:rsidR="00753A88" w:rsidRDefault="00753A88">
      <w:pPr>
        <w:rPr>
          <w:rFonts w:ascii="Arial" w:hAnsi="Arial" w:cs="Arial"/>
          <w:b/>
          <w:sz w:val="24"/>
          <w:szCs w:val="24"/>
        </w:rPr>
      </w:pPr>
      <w:r>
        <w:rPr>
          <w:rFonts w:ascii="Arial" w:hAnsi="Arial" w:cs="Arial"/>
          <w:b/>
          <w:sz w:val="24"/>
          <w:szCs w:val="24"/>
        </w:rPr>
        <w:br w:type="page"/>
      </w:r>
    </w:p>
    <w:p w:rsidR="0065531C" w:rsidRPr="00A73243" w:rsidRDefault="0065531C" w:rsidP="0065531C">
      <w:pPr>
        <w:rPr>
          <w:rFonts w:ascii="Arial" w:hAnsi="Arial" w:cs="Arial"/>
          <w:b/>
          <w:sz w:val="24"/>
          <w:szCs w:val="24"/>
        </w:rPr>
      </w:pPr>
      <w:r w:rsidRPr="00A73243">
        <w:rPr>
          <w:rFonts w:ascii="Arial" w:hAnsi="Arial" w:cs="Arial"/>
          <w:b/>
          <w:sz w:val="24"/>
          <w:szCs w:val="24"/>
        </w:rPr>
        <w:lastRenderedPageBreak/>
        <w:t>Risk register template with examples of use</w:t>
      </w:r>
    </w:p>
    <w:p w:rsidR="0065531C" w:rsidRPr="00A73243" w:rsidRDefault="0065531C" w:rsidP="0065531C">
      <w:pPr>
        <w:rPr>
          <w:rFonts w:ascii="Arial" w:hAnsi="Arial" w:cs="Arial"/>
          <w:sz w:val="24"/>
          <w:szCs w:val="24"/>
        </w:rPr>
      </w:pPr>
      <w:r w:rsidRPr="00A73243">
        <w:rPr>
          <w:rFonts w:ascii="Arial" w:hAnsi="Arial" w:cs="Arial"/>
          <w:sz w:val="24"/>
          <w:szCs w:val="24"/>
        </w:rPr>
        <w:t>Risk management is aimed at reducing the ‘gross level’ of risk identified to a ‘net level’ of risk, in other words, the risk that remains after appropriate action is taken. This template has been created to illustrate a practical way of recording in a risk register how this reduction in level might be achieved by the charity. In example 1, the gross risk is identified as the lack of return/diversity of investment portfolio and rated as high. After identifying the procedures for managing this risk, the net risk has been rated as medium. Trustees need to form a view as to the acceptability of the net risk that remains after management.</w:t>
      </w:r>
    </w:p>
    <w:p w:rsidR="0065531C" w:rsidRPr="00A73243" w:rsidRDefault="0065531C" w:rsidP="0065531C">
      <w:pPr>
        <w:rPr>
          <w:rFonts w:ascii="Arial" w:hAnsi="Arial" w:cs="Arial"/>
          <w:sz w:val="24"/>
          <w:szCs w:val="24"/>
        </w:rPr>
      </w:pPr>
      <w:r w:rsidRPr="00A73243">
        <w:rPr>
          <w:rFonts w:ascii="Arial" w:hAnsi="Arial" w:cs="Arial"/>
          <w:sz w:val="24"/>
          <w:szCs w:val="24"/>
        </w:rPr>
        <w:t>The charitable sector is by its nature diverse. The nature of activities, funding base, reserves and structures will expose charities to differing areas of risk and levels of exposure. While the areas of risk identified below will deserve consideration by most charities, it is not an exhaustive list of all potential areas of risk and should not be a substitute for a charity undertaking its own processes for risk identification.</w:t>
      </w:r>
    </w:p>
    <w:p w:rsidR="0065531C" w:rsidRPr="00A73243" w:rsidRDefault="0065531C" w:rsidP="0065531C">
      <w:pPr>
        <w:rPr>
          <w:rFonts w:ascii="Arial" w:hAnsi="Arial" w:cs="Arial"/>
          <w:sz w:val="24"/>
          <w:szCs w:val="24"/>
        </w:rPr>
      </w:pPr>
      <w:r w:rsidRPr="00A73243">
        <w:rPr>
          <w:rFonts w:ascii="Arial" w:hAnsi="Arial" w:cs="Arial"/>
          <w:sz w:val="24"/>
          <w:szCs w:val="24"/>
        </w:rPr>
        <w:t>The list of risk areas is intended to be an indication of some of the main areas of risk that may need to be considered by trustees. Illustrative examples of potential impact are given, as well as some illustrative examples of controls or action that might be taken to mitigate the risk or impact. Some risks will fall into more than one category. Although the list may be long, it is not exhaustive and there will be other risks that apply to a particular charity because of its own circumstances and activities.</w:t>
      </w:r>
    </w:p>
    <w:p w:rsidR="0065531C" w:rsidRPr="00A73243" w:rsidRDefault="0065531C" w:rsidP="0065531C">
      <w:pPr>
        <w:rPr>
          <w:rFonts w:ascii="Arial" w:hAnsi="Arial" w:cs="Arial"/>
          <w:sz w:val="24"/>
          <w:szCs w:val="24"/>
        </w:rPr>
      </w:pPr>
    </w:p>
    <w:tbl>
      <w:tblPr>
        <w:tblStyle w:val="TableGrid"/>
        <w:tblW w:w="0" w:type="auto"/>
        <w:tblLook w:val="04A0" w:firstRow="1" w:lastRow="0" w:firstColumn="1" w:lastColumn="0" w:noHBand="0" w:noVBand="1"/>
      </w:tblPr>
      <w:tblGrid>
        <w:gridCol w:w="2207"/>
        <w:gridCol w:w="1790"/>
        <w:gridCol w:w="1386"/>
        <w:gridCol w:w="1400"/>
        <w:gridCol w:w="2577"/>
        <w:gridCol w:w="2433"/>
        <w:gridCol w:w="2579"/>
        <w:gridCol w:w="2434"/>
        <w:gridCol w:w="2139"/>
        <w:gridCol w:w="1979"/>
      </w:tblGrid>
      <w:tr w:rsidR="0065531C" w:rsidTr="0065531C">
        <w:tc>
          <w:tcPr>
            <w:tcW w:w="2207" w:type="dxa"/>
          </w:tcPr>
          <w:p w:rsidR="0065531C" w:rsidRDefault="0065531C" w:rsidP="0065531C">
            <w:r>
              <w:t>Risk area/risk identified</w:t>
            </w:r>
            <w:r>
              <w:tab/>
            </w:r>
          </w:p>
        </w:tc>
        <w:tc>
          <w:tcPr>
            <w:tcW w:w="1790" w:type="dxa"/>
          </w:tcPr>
          <w:p w:rsidR="0065531C" w:rsidRDefault="0065531C" w:rsidP="0065531C">
            <w:r>
              <w:t>Likelihood of occurrence (score)</w:t>
            </w:r>
            <w:r>
              <w:tab/>
            </w:r>
          </w:p>
        </w:tc>
        <w:tc>
          <w:tcPr>
            <w:tcW w:w="1386" w:type="dxa"/>
          </w:tcPr>
          <w:p w:rsidR="0065531C" w:rsidRDefault="0065531C" w:rsidP="0065531C">
            <w:r>
              <w:t>Severity of impact (score)</w:t>
            </w:r>
          </w:p>
        </w:tc>
        <w:tc>
          <w:tcPr>
            <w:tcW w:w="1400" w:type="dxa"/>
          </w:tcPr>
          <w:p w:rsidR="0065531C" w:rsidRDefault="0065531C" w:rsidP="0065531C">
            <w:r>
              <w:t>Overall or ‘gross’ risk</w:t>
            </w:r>
          </w:p>
        </w:tc>
        <w:tc>
          <w:tcPr>
            <w:tcW w:w="2577" w:type="dxa"/>
          </w:tcPr>
          <w:p w:rsidR="0065531C" w:rsidRDefault="0065531C" w:rsidP="0065531C">
            <w:r>
              <w:t>Control procedure</w:t>
            </w:r>
          </w:p>
        </w:tc>
        <w:tc>
          <w:tcPr>
            <w:tcW w:w="2433" w:type="dxa"/>
          </w:tcPr>
          <w:p w:rsidR="0065531C" w:rsidRDefault="0065531C" w:rsidP="0065531C">
            <w:r>
              <w:t>Retained or ‘net’ risk</w:t>
            </w:r>
            <w:r>
              <w:tab/>
            </w:r>
          </w:p>
        </w:tc>
        <w:tc>
          <w:tcPr>
            <w:tcW w:w="2579" w:type="dxa"/>
          </w:tcPr>
          <w:p w:rsidR="0065531C" w:rsidRDefault="0065531C" w:rsidP="0065531C">
            <w:r>
              <w:t>Monitoring process</w:t>
            </w:r>
            <w:r>
              <w:tab/>
            </w:r>
          </w:p>
        </w:tc>
        <w:tc>
          <w:tcPr>
            <w:tcW w:w="2434" w:type="dxa"/>
          </w:tcPr>
          <w:p w:rsidR="0065531C" w:rsidRDefault="0065531C" w:rsidP="0065531C">
            <w:r>
              <w:t>Responsibility</w:t>
            </w:r>
          </w:p>
        </w:tc>
        <w:tc>
          <w:tcPr>
            <w:tcW w:w="2139" w:type="dxa"/>
          </w:tcPr>
          <w:p w:rsidR="0065531C" w:rsidRDefault="0065531C" w:rsidP="0065531C">
            <w:r>
              <w:t>Further action required</w:t>
            </w:r>
          </w:p>
        </w:tc>
        <w:tc>
          <w:tcPr>
            <w:tcW w:w="1979" w:type="dxa"/>
          </w:tcPr>
          <w:p w:rsidR="0065531C" w:rsidRDefault="0065531C" w:rsidP="0065531C">
            <w:r>
              <w:t>Date of review</w:t>
            </w:r>
          </w:p>
        </w:tc>
      </w:tr>
      <w:tr w:rsidR="0065531C" w:rsidTr="0065531C">
        <w:tc>
          <w:tcPr>
            <w:tcW w:w="2207" w:type="dxa"/>
          </w:tcPr>
          <w:p w:rsidR="0065531C" w:rsidRDefault="0065531C" w:rsidP="0065531C">
            <w:r>
              <w:t>lack of return/diversity of investment portfolio</w:t>
            </w:r>
          </w:p>
          <w:p w:rsidR="0065531C" w:rsidRDefault="0065531C" w:rsidP="0065531C"/>
        </w:tc>
        <w:tc>
          <w:tcPr>
            <w:tcW w:w="1790" w:type="dxa"/>
          </w:tcPr>
          <w:p w:rsidR="0065531C" w:rsidRDefault="0065531C" w:rsidP="0065531C">
            <w:r>
              <w:t>probable (4)</w:t>
            </w:r>
          </w:p>
          <w:p w:rsidR="0065531C" w:rsidRDefault="0065531C" w:rsidP="0065531C"/>
        </w:tc>
        <w:tc>
          <w:tcPr>
            <w:tcW w:w="1386" w:type="dxa"/>
          </w:tcPr>
          <w:p w:rsidR="0065531C" w:rsidRDefault="0065531C" w:rsidP="0065531C">
            <w:r>
              <w:t>major (4)</w:t>
            </w:r>
          </w:p>
        </w:tc>
        <w:tc>
          <w:tcPr>
            <w:tcW w:w="1400" w:type="dxa"/>
          </w:tcPr>
          <w:p w:rsidR="0065531C" w:rsidRDefault="0065531C" w:rsidP="0065531C">
            <w:r>
              <w:t>high (20)</w:t>
            </w:r>
          </w:p>
        </w:tc>
        <w:tc>
          <w:tcPr>
            <w:tcW w:w="2577" w:type="dxa"/>
          </w:tcPr>
          <w:p w:rsidR="0065531C" w:rsidRDefault="0065531C" w:rsidP="0065531C">
            <w:r>
              <w:t>investment policy set by trustees</w:t>
            </w:r>
          </w:p>
          <w:p w:rsidR="0065531C" w:rsidRDefault="0065531C" w:rsidP="0065531C">
            <w:r>
              <w:t>written instructions to FSA authorised investment adviser</w:t>
            </w:r>
          </w:p>
          <w:p w:rsidR="0065531C" w:rsidRDefault="0065531C" w:rsidP="0065531C">
            <w:r>
              <w:t>quarterly reviews by trustees</w:t>
            </w:r>
          </w:p>
        </w:tc>
        <w:tc>
          <w:tcPr>
            <w:tcW w:w="2433" w:type="dxa"/>
          </w:tcPr>
          <w:p w:rsidR="0065531C" w:rsidRDefault="0065531C" w:rsidP="0065531C">
            <w:r>
              <w:t>medium</w:t>
            </w:r>
          </w:p>
          <w:p w:rsidR="0065531C" w:rsidRDefault="0065531C" w:rsidP="0065531C"/>
        </w:tc>
        <w:tc>
          <w:tcPr>
            <w:tcW w:w="2579" w:type="dxa"/>
          </w:tcPr>
          <w:p w:rsidR="0065531C" w:rsidRDefault="0065531C" w:rsidP="0065531C">
            <w:r>
              <w:t>performance reports reviewed quarterly by trustees</w:t>
            </w:r>
          </w:p>
          <w:p w:rsidR="0065531C" w:rsidRDefault="0065531C" w:rsidP="0065531C"/>
        </w:tc>
        <w:tc>
          <w:tcPr>
            <w:tcW w:w="2434" w:type="dxa"/>
          </w:tcPr>
          <w:p w:rsidR="0065531C" w:rsidRDefault="0065531C" w:rsidP="0065531C">
            <w:r>
              <w:t>trustees and treasurer</w:t>
            </w:r>
          </w:p>
        </w:tc>
        <w:tc>
          <w:tcPr>
            <w:tcW w:w="2139" w:type="dxa"/>
          </w:tcPr>
          <w:p w:rsidR="0065531C" w:rsidRDefault="0065531C" w:rsidP="0065531C">
            <w:r>
              <w:t>quarterly agenda item for trustee meetings</w:t>
            </w:r>
          </w:p>
        </w:tc>
        <w:tc>
          <w:tcPr>
            <w:tcW w:w="1979" w:type="dxa"/>
          </w:tcPr>
          <w:p w:rsidR="0065531C" w:rsidRDefault="0065531C" w:rsidP="0065531C">
            <w:r>
              <w:t>quarterly</w:t>
            </w:r>
          </w:p>
        </w:tc>
      </w:tr>
      <w:tr w:rsidR="0065531C" w:rsidTr="0065531C">
        <w:tc>
          <w:tcPr>
            <w:tcW w:w="2207" w:type="dxa"/>
          </w:tcPr>
          <w:p w:rsidR="0065531C" w:rsidRDefault="0065531C" w:rsidP="0065531C">
            <w:r>
              <w:t>unsatisfactory fundraising</w:t>
            </w:r>
          </w:p>
        </w:tc>
        <w:tc>
          <w:tcPr>
            <w:tcW w:w="1790" w:type="dxa"/>
          </w:tcPr>
          <w:p w:rsidR="0065531C" w:rsidRDefault="0065531C" w:rsidP="0065531C">
            <w:r>
              <w:tab/>
              <w:t>probable (4)</w:t>
            </w:r>
          </w:p>
        </w:tc>
        <w:tc>
          <w:tcPr>
            <w:tcW w:w="1386" w:type="dxa"/>
          </w:tcPr>
          <w:p w:rsidR="0065531C" w:rsidRDefault="0065531C" w:rsidP="0065531C">
            <w:r>
              <w:t>major (4)</w:t>
            </w:r>
          </w:p>
        </w:tc>
        <w:tc>
          <w:tcPr>
            <w:tcW w:w="1400" w:type="dxa"/>
          </w:tcPr>
          <w:p w:rsidR="0065531C" w:rsidRDefault="0065531C" w:rsidP="0065531C">
            <w:r>
              <w:t>high (20)</w:t>
            </w:r>
          </w:p>
        </w:tc>
        <w:tc>
          <w:tcPr>
            <w:tcW w:w="2577" w:type="dxa"/>
          </w:tcPr>
          <w:p w:rsidR="0065531C" w:rsidRDefault="0065531C" w:rsidP="0065531C">
            <w:r>
              <w:t>financial appraisal of new projects</w:t>
            </w:r>
          </w:p>
          <w:p w:rsidR="0065531C" w:rsidRDefault="0065531C" w:rsidP="0065531C">
            <w:r>
              <w:t>benchmarking of returns achieved</w:t>
            </w:r>
          </w:p>
          <w:p w:rsidR="0065531C" w:rsidRDefault="0065531C" w:rsidP="0065531C">
            <w:r>
              <w:t>budget reporting by fundraising activity</w:t>
            </w:r>
          </w:p>
          <w:p w:rsidR="0065531C" w:rsidRDefault="0065531C" w:rsidP="0065531C"/>
        </w:tc>
        <w:tc>
          <w:tcPr>
            <w:tcW w:w="2433" w:type="dxa"/>
          </w:tcPr>
          <w:p w:rsidR="0065531C" w:rsidRDefault="0065531C" w:rsidP="0065531C">
            <w:r>
              <w:t>medium</w:t>
            </w:r>
          </w:p>
        </w:tc>
        <w:tc>
          <w:tcPr>
            <w:tcW w:w="2579" w:type="dxa"/>
          </w:tcPr>
          <w:p w:rsidR="0065531C" w:rsidRDefault="0065531C" w:rsidP="0065531C">
            <w:r>
              <w:t>financial reporting by fundraising activity</w:t>
            </w:r>
          </w:p>
          <w:p w:rsidR="0065531C" w:rsidRDefault="0065531C" w:rsidP="0065531C">
            <w:r>
              <w:t>quarterly reporting by fundraising manager to trustees/CEO</w:t>
            </w:r>
          </w:p>
          <w:p w:rsidR="0065531C" w:rsidRDefault="0065531C" w:rsidP="0065531C"/>
        </w:tc>
        <w:tc>
          <w:tcPr>
            <w:tcW w:w="2434" w:type="dxa"/>
          </w:tcPr>
          <w:p w:rsidR="0065531C" w:rsidRDefault="0065531C" w:rsidP="0065531C">
            <w:r>
              <w:t>fundraising manager/CEO</w:t>
            </w:r>
          </w:p>
        </w:tc>
        <w:tc>
          <w:tcPr>
            <w:tcW w:w="2139" w:type="dxa"/>
          </w:tcPr>
          <w:p w:rsidR="0065531C" w:rsidRDefault="0065531C" w:rsidP="0065531C">
            <w:r>
              <w:t>new initiatives to be approved by trustees unless included in current business plan</w:t>
            </w:r>
          </w:p>
          <w:p w:rsidR="0065531C" w:rsidRDefault="0065531C" w:rsidP="0065531C">
            <w:r>
              <w:t>review of regulatory compliance of current methods</w:t>
            </w:r>
          </w:p>
          <w:p w:rsidR="0065531C" w:rsidRDefault="0065531C" w:rsidP="0065531C"/>
        </w:tc>
        <w:tc>
          <w:tcPr>
            <w:tcW w:w="1979" w:type="dxa"/>
          </w:tcPr>
          <w:p w:rsidR="0065531C" w:rsidRDefault="0065531C" w:rsidP="0065531C">
            <w:r>
              <w:t>when appropriate</w:t>
            </w:r>
          </w:p>
          <w:p w:rsidR="0065531C" w:rsidRDefault="0065531C" w:rsidP="0065531C">
            <w:r>
              <w:t>next trustee meeting</w:t>
            </w:r>
          </w:p>
          <w:p w:rsidR="0065531C" w:rsidRDefault="0065531C" w:rsidP="0065531C"/>
        </w:tc>
      </w:tr>
      <w:tr w:rsidR="0065531C" w:rsidTr="0065531C">
        <w:tc>
          <w:tcPr>
            <w:tcW w:w="2207" w:type="dxa"/>
          </w:tcPr>
          <w:p w:rsidR="0065531C" w:rsidRDefault="0065531C" w:rsidP="0065531C"/>
          <w:p w:rsidR="00F72B21" w:rsidRDefault="00F72B21" w:rsidP="0065531C"/>
        </w:tc>
        <w:tc>
          <w:tcPr>
            <w:tcW w:w="1790" w:type="dxa"/>
          </w:tcPr>
          <w:p w:rsidR="0065531C" w:rsidRDefault="0065531C" w:rsidP="0065531C"/>
        </w:tc>
        <w:tc>
          <w:tcPr>
            <w:tcW w:w="1386" w:type="dxa"/>
          </w:tcPr>
          <w:p w:rsidR="0065531C" w:rsidRDefault="0065531C" w:rsidP="0065531C"/>
        </w:tc>
        <w:tc>
          <w:tcPr>
            <w:tcW w:w="1400" w:type="dxa"/>
          </w:tcPr>
          <w:p w:rsidR="0065531C" w:rsidRDefault="0065531C" w:rsidP="0065531C"/>
        </w:tc>
        <w:tc>
          <w:tcPr>
            <w:tcW w:w="2577" w:type="dxa"/>
          </w:tcPr>
          <w:p w:rsidR="0065531C" w:rsidRDefault="0065531C" w:rsidP="0065531C"/>
        </w:tc>
        <w:tc>
          <w:tcPr>
            <w:tcW w:w="2433" w:type="dxa"/>
          </w:tcPr>
          <w:p w:rsidR="0065531C" w:rsidRDefault="0065531C" w:rsidP="0065531C"/>
        </w:tc>
        <w:tc>
          <w:tcPr>
            <w:tcW w:w="2579" w:type="dxa"/>
          </w:tcPr>
          <w:p w:rsidR="0065531C" w:rsidRDefault="0065531C" w:rsidP="0065531C"/>
        </w:tc>
        <w:tc>
          <w:tcPr>
            <w:tcW w:w="2434" w:type="dxa"/>
          </w:tcPr>
          <w:p w:rsidR="0065531C" w:rsidRDefault="0065531C" w:rsidP="0065531C"/>
        </w:tc>
        <w:tc>
          <w:tcPr>
            <w:tcW w:w="2139" w:type="dxa"/>
          </w:tcPr>
          <w:p w:rsidR="0065531C" w:rsidRDefault="0065531C" w:rsidP="0065531C"/>
        </w:tc>
        <w:tc>
          <w:tcPr>
            <w:tcW w:w="1979" w:type="dxa"/>
          </w:tcPr>
          <w:p w:rsidR="0065531C" w:rsidRDefault="0065531C" w:rsidP="0065531C"/>
        </w:tc>
      </w:tr>
      <w:tr w:rsidR="0065531C" w:rsidTr="0065531C">
        <w:tc>
          <w:tcPr>
            <w:tcW w:w="2207" w:type="dxa"/>
          </w:tcPr>
          <w:p w:rsidR="0065531C" w:rsidRDefault="0065531C" w:rsidP="0065531C"/>
          <w:p w:rsidR="00F72B21" w:rsidRDefault="00F72B21" w:rsidP="0065531C"/>
        </w:tc>
        <w:tc>
          <w:tcPr>
            <w:tcW w:w="1790" w:type="dxa"/>
          </w:tcPr>
          <w:p w:rsidR="0065531C" w:rsidRDefault="0065531C" w:rsidP="0065531C"/>
        </w:tc>
        <w:tc>
          <w:tcPr>
            <w:tcW w:w="1386" w:type="dxa"/>
          </w:tcPr>
          <w:p w:rsidR="0065531C" w:rsidRDefault="0065531C" w:rsidP="0065531C"/>
        </w:tc>
        <w:tc>
          <w:tcPr>
            <w:tcW w:w="1400" w:type="dxa"/>
          </w:tcPr>
          <w:p w:rsidR="0065531C" w:rsidRDefault="0065531C" w:rsidP="0065531C"/>
        </w:tc>
        <w:tc>
          <w:tcPr>
            <w:tcW w:w="2577" w:type="dxa"/>
          </w:tcPr>
          <w:p w:rsidR="0065531C" w:rsidRDefault="0065531C" w:rsidP="0065531C"/>
        </w:tc>
        <w:tc>
          <w:tcPr>
            <w:tcW w:w="2433" w:type="dxa"/>
          </w:tcPr>
          <w:p w:rsidR="0065531C" w:rsidRDefault="0065531C" w:rsidP="0065531C"/>
        </w:tc>
        <w:tc>
          <w:tcPr>
            <w:tcW w:w="2579" w:type="dxa"/>
          </w:tcPr>
          <w:p w:rsidR="0065531C" w:rsidRDefault="0065531C" w:rsidP="0065531C"/>
        </w:tc>
        <w:tc>
          <w:tcPr>
            <w:tcW w:w="2434" w:type="dxa"/>
          </w:tcPr>
          <w:p w:rsidR="0065531C" w:rsidRDefault="0065531C" w:rsidP="0065531C"/>
        </w:tc>
        <w:tc>
          <w:tcPr>
            <w:tcW w:w="2139" w:type="dxa"/>
          </w:tcPr>
          <w:p w:rsidR="0065531C" w:rsidRDefault="0065531C" w:rsidP="0065531C"/>
        </w:tc>
        <w:tc>
          <w:tcPr>
            <w:tcW w:w="1979" w:type="dxa"/>
          </w:tcPr>
          <w:p w:rsidR="0065531C" w:rsidRDefault="0065531C" w:rsidP="0065531C"/>
        </w:tc>
      </w:tr>
      <w:tr w:rsidR="0065531C" w:rsidTr="0065531C">
        <w:tc>
          <w:tcPr>
            <w:tcW w:w="2207" w:type="dxa"/>
          </w:tcPr>
          <w:p w:rsidR="0065531C" w:rsidRDefault="0065531C" w:rsidP="0065531C"/>
          <w:p w:rsidR="00F72B21" w:rsidRDefault="00F72B21" w:rsidP="0065531C"/>
        </w:tc>
        <w:tc>
          <w:tcPr>
            <w:tcW w:w="1790" w:type="dxa"/>
          </w:tcPr>
          <w:p w:rsidR="0065531C" w:rsidRDefault="0065531C" w:rsidP="0065531C"/>
        </w:tc>
        <w:tc>
          <w:tcPr>
            <w:tcW w:w="1386" w:type="dxa"/>
          </w:tcPr>
          <w:p w:rsidR="0065531C" w:rsidRDefault="0065531C" w:rsidP="0065531C"/>
        </w:tc>
        <w:tc>
          <w:tcPr>
            <w:tcW w:w="1400" w:type="dxa"/>
          </w:tcPr>
          <w:p w:rsidR="0065531C" w:rsidRDefault="0065531C" w:rsidP="0065531C"/>
        </w:tc>
        <w:tc>
          <w:tcPr>
            <w:tcW w:w="2577" w:type="dxa"/>
          </w:tcPr>
          <w:p w:rsidR="0065531C" w:rsidRDefault="0065531C" w:rsidP="0065531C"/>
        </w:tc>
        <w:tc>
          <w:tcPr>
            <w:tcW w:w="2433" w:type="dxa"/>
          </w:tcPr>
          <w:p w:rsidR="0065531C" w:rsidRDefault="0065531C" w:rsidP="0065531C"/>
        </w:tc>
        <w:tc>
          <w:tcPr>
            <w:tcW w:w="2579" w:type="dxa"/>
          </w:tcPr>
          <w:p w:rsidR="0065531C" w:rsidRDefault="0065531C" w:rsidP="0065531C"/>
        </w:tc>
        <w:tc>
          <w:tcPr>
            <w:tcW w:w="2434" w:type="dxa"/>
          </w:tcPr>
          <w:p w:rsidR="0065531C" w:rsidRDefault="0065531C" w:rsidP="0065531C"/>
        </w:tc>
        <w:tc>
          <w:tcPr>
            <w:tcW w:w="2139" w:type="dxa"/>
          </w:tcPr>
          <w:p w:rsidR="0065531C" w:rsidRDefault="0065531C" w:rsidP="0065531C"/>
        </w:tc>
        <w:tc>
          <w:tcPr>
            <w:tcW w:w="1979" w:type="dxa"/>
          </w:tcPr>
          <w:p w:rsidR="0065531C" w:rsidRDefault="0065531C" w:rsidP="0065531C"/>
        </w:tc>
      </w:tr>
      <w:tr w:rsidR="0065531C" w:rsidTr="0065531C">
        <w:tc>
          <w:tcPr>
            <w:tcW w:w="2207" w:type="dxa"/>
          </w:tcPr>
          <w:p w:rsidR="0065531C" w:rsidRDefault="0065531C" w:rsidP="0065531C"/>
          <w:p w:rsidR="00F72B21" w:rsidRDefault="00F72B21" w:rsidP="0065531C"/>
        </w:tc>
        <w:tc>
          <w:tcPr>
            <w:tcW w:w="1790" w:type="dxa"/>
          </w:tcPr>
          <w:p w:rsidR="0065531C" w:rsidRDefault="0065531C" w:rsidP="0065531C"/>
        </w:tc>
        <w:tc>
          <w:tcPr>
            <w:tcW w:w="1386" w:type="dxa"/>
          </w:tcPr>
          <w:p w:rsidR="0065531C" w:rsidRDefault="0065531C" w:rsidP="0065531C"/>
        </w:tc>
        <w:tc>
          <w:tcPr>
            <w:tcW w:w="1400" w:type="dxa"/>
          </w:tcPr>
          <w:p w:rsidR="0065531C" w:rsidRDefault="0065531C" w:rsidP="0065531C"/>
        </w:tc>
        <w:tc>
          <w:tcPr>
            <w:tcW w:w="2577" w:type="dxa"/>
          </w:tcPr>
          <w:p w:rsidR="0065531C" w:rsidRDefault="0065531C" w:rsidP="0065531C"/>
        </w:tc>
        <w:tc>
          <w:tcPr>
            <w:tcW w:w="2433" w:type="dxa"/>
          </w:tcPr>
          <w:p w:rsidR="0065531C" w:rsidRDefault="0065531C" w:rsidP="0065531C"/>
        </w:tc>
        <w:tc>
          <w:tcPr>
            <w:tcW w:w="2579" w:type="dxa"/>
          </w:tcPr>
          <w:p w:rsidR="0065531C" w:rsidRDefault="0065531C" w:rsidP="0065531C"/>
        </w:tc>
        <w:tc>
          <w:tcPr>
            <w:tcW w:w="2434" w:type="dxa"/>
          </w:tcPr>
          <w:p w:rsidR="0065531C" w:rsidRDefault="0065531C" w:rsidP="0065531C"/>
        </w:tc>
        <w:tc>
          <w:tcPr>
            <w:tcW w:w="2139" w:type="dxa"/>
          </w:tcPr>
          <w:p w:rsidR="0065531C" w:rsidRDefault="0065531C" w:rsidP="0065531C"/>
        </w:tc>
        <w:tc>
          <w:tcPr>
            <w:tcW w:w="1979" w:type="dxa"/>
          </w:tcPr>
          <w:p w:rsidR="0065531C" w:rsidRDefault="0065531C" w:rsidP="0065531C"/>
        </w:tc>
      </w:tr>
      <w:tr w:rsidR="0065531C" w:rsidTr="0065531C">
        <w:tc>
          <w:tcPr>
            <w:tcW w:w="2207" w:type="dxa"/>
          </w:tcPr>
          <w:p w:rsidR="0065531C" w:rsidRDefault="0065531C" w:rsidP="0065531C"/>
          <w:p w:rsidR="00F72B21" w:rsidRDefault="00F72B21" w:rsidP="0065531C"/>
        </w:tc>
        <w:tc>
          <w:tcPr>
            <w:tcW w:w="1790" w:type="dxa"/>
          </w:tcPr>
          <w:p w:rsidR="0065531C" w:rsidRDefault="0065531C" w:rsidP="0065531C"/>
        </w:tc>
        <w:tc>
          <w:tcPr>
            <w:tcW w:w="1386" w:type="dxa"/>
          </w:tcPr>
          <w:p w:rsidR="0065531C" w:rsidRDefault="0065531C" w:rsidP="0065531C"/>
        </w:tc>
        <w:tc>
          <w:tcPr>
            <w:tcW w:w="1400" w:type="dxa"/>
          </w:tcPr>
          <w:p w:rsidR="0065531C" w:rsidRDefault="0065531C" w:rsidP="0065531C"/>
        </w:tc>
        <w:tc>
          <w:tcPr>
            <w:tcW w:w="2577" w:type="dxa"/>
          </w:tcPr>
          <w:p w:rsidR="0065531C" w:rsidRDefault="0065531C" w:rsidP="0065531C"/>
        </w:tc>
        <w:tc>
          <w:tcPr>
            <w:tcW w:w="2433" w:type="dxa"/>
          </w:tcPr>
          <w:p w:rsidR="0065531C" w:rsidRDefault="0065531C" w:rsidP="0065531C"/>
        </w:tc>
        <w:tc>
          <w:tcPr>
            <w:tcW w:w="2579" w:type="dxa"/>
          </w:tcPr>
          <w:p w:rsidR="0065531C" w:rsidRDefault="0065531C" w:rsidP="0065531C"/>
        </w:tc>
        <w:tc>
          <w:tcPr>
            <w:tcW w:w="2434" w:type="dxa"/>
          </w:tcPr>
          <w:p w:rsidR="0065531C" w:rsidRDefault="0065531C" w:rsidP="0065531C"/>
        </w:tc>
        <w:tc>
          <w:tcPr>
            <w:tcW w:w="2139" w:type="dxa"/>
          </w:tcPr>
          <w:p w:rsidR="0065531C" w:rsidRDefault="0065531C" w:rsidP="0065531C"/>
        </w:tc>
        <w:tc>
          <w:tcPr>
            <w:tcW w:w="1979" w:type="dxa"/>
          </w:tcPr>
          <w:p w:rsidR="0065531C" w:rsidRDefault="0065531C" w:rsidP="0065531C"/>
        </w:tc>
      </w:tr>
      <w:tr w:rsidR="0065531C" w:rsidTr="0065531C">
        <w:tc>
          <w:tcPr>
            <w:tcW w:w="2207" w:type="dxa"/>
          </w:tcPr>
          <w:p w:rsidR="0065531C" w:rsidRDefault="0065531C" w:rsidP="0065531C"/>
          <w:p w:rsidR="00F72B21" w:rsidRDefault="00F72B21" w:rsidP="0065531C"/>
        </w:tc>
        <w:tc>
          <w:tcPr>
            <w:tcW w:w="1790" w:type="dxa"/>
          </w:tcPr>
          <w:p w:rsidR="0065531C" w:rsidRDefault="0065531C" w:rsidP="0065531C"/>
        </w:tc>
        <w:tc>
          <w:tcPr>
            <w:tcW w:w="1386" w:type="dxa"/>
          </w:tcPr>
          <w:p w:rsidR="0065531C" w:rsidRDefault="0065531C" w:rsidP="0065531C"/>
        </w:tc>
        <w:tc>
          <w:tcPr>
            <w:tcW w:w="1400" w:type="dxa"/>
          </w:tcPr>
          <w:p w:rsidR="0065531C" w:rsidRDefault="0065531C" w:rsidP="0065531C"/>
        </w:tc>
        <w:tc>
          <w:tcPr>
            <w:tcW w:w="2577" w:type="dxa"/>
          </w:tcPr>
          <w:p w:rsidR="0065531C" w:rsidRDefault="0065531C" w:rsidP="0065531C"/>
        </w:tc>
        <w:tc>
          <w:tcPr>
            <w:tcW w:w="2433" w:type="dxa"/>
          </w:tcPr>
          <w:p w:rsidR="0065531C" w:rsidRDefault="0065531C" w:rsidP="0065531C"/>
        </w:tc>
        <w:tc>
          <w:tcPr>
            <w:tcW w:w="2579" w:type="dxa"/>
          </w:tcPr>
          <w:p w:rsidR="0065531C" w:rsidRDefault="0065531C" w:rsidP="0065531C"/>
        </w:tc>
        <w:tc>
          <w:tcPr>
            <w:tcW w:w="2434" w:type="dxa"/>
          </w:tcPr>
          <w:p w:rsidR="0065531C" w:rsidRDefault="0065531C" w:rsidP="0065531C"/>
        </w:tc>
        <w:tc>
          <w:tcPr>
            <w:tcW w:w="2139" w:type="dxa"/>
          </w:tcPr>
          <w:p w:rsidR="0065531C" w:rsidRDefault="0065531C" w:rsidP="0065531C"/>
        </w:tc>
        <w:tc>
          <w:tcPr>
            <w:tcW w:w="1979" w:type="dxa"/>
          </w:tcPr>
          <w:p w:rsidR="0065531C" w:rsidRDefault="0065531C" w:rsidP="0065531C"/>
        </w:tc>
      </w:tr>
      <w:tr w:rsidR="0065531C" w:rsidTr="0065531C">
        <w:tc>
          <w:tcPr>
            <w:tcW w:w="2207" w:type="dxa"/>
          </w:tcPr>
          <w:p w:rsidR="0065531C" w:rsidRDefault="0065531C" w:rsidP="0065531C"/>
          <w:p w:rsidR="00F72B21" w:rsidRDefault="00F72B21" w:rsidP="0065531C"/>
        </w:tc>
        <w:tc>
          <w:tcPr>
            <w:tcW w:w="1790" w:type="dxa"/>
          </w:tcPr>
          <w:p w:rsidR="0065531C" w:rsidRDefault="0065531C" w:rsidP="0065531C"/>
        </w:tc>
        <w:tc>
          <w:tcPr>
            <w:tcW w:w="1386" w:type="dxa"/>
          </w:tcPr>
          <w:p w:rsidR="0065531C" w:rsidRDefault="0065531C" w:rsidP="0065531C"/>
        </w:tc>
        <w:tc>
          <w:tcPr>
            <w:tcW w:w="1400" w:type="dxa"/>
          </w:tcPr>
          <w:p w:rsidR="0065531C" w:rsidRDefault="0065531C" w:rsidP="0065531C"/>
        </w:tc>
        <w:tc>
          <w:tcPr>
            <w:tcW w:w="2577" w:type="dxa"/>
          </w:tcPr>
          <w:p w:rsidR="0065531C" w:rsidRDefault="0065531C" w:rsidP="0065531C"/>
        </w:tc>
        <w:tc>
          <w:tcPr>
            <w:tcW w:w="2433" w:type="dxa"/>
          </w:tcPr>
          <w:p w:rsidR="0065531C" w:rsidRDefault="0065531C" w:rsidP="0065531C"/>
        </w:tc>
        <w:tc>
          <w:tcPr>
            <w:tcW w:w="2579" w:type="dxa"/>
          </w:tcPr>
          <w:p w:rsidR="0065531C" w:rsidRDefault="0065531C" w:rsidP="0065531C"/>
        </w:tc>
        <w:tc>
          <w:tcPr>
            <w:tcW w:w="2434" w:type="dxa"/>
          </w:tcPr>
          <w:p w:rsidR="0065531C" w:rsidRDefault="0065531C" w:rsidP="0065531C"/>
        </w:tc>
        <w:tc>
          <w:tcPr>
            <w:tcW w:w="2139" w:type="dxa"/>
          </w:tcPr>
          <w:p w:rsidR="0065531C" w:rsidRDefault="0065531C" w:rsidP="0065531C"/>
        </w:tc>
        <w:tc>
          <w:tcPr>
            <w:tcW w:w="1979" w:type="dxa"/>
          </w:tcPr>
          <w:p w:rsidR="0065531C" w:rsidRDefault="0065531C" w:rsidP="0065531C"/>
        </w:tc>
      </w:tr>
    </w:tbl>
    <w:p w:rsidR="0065531C" w:rsidRDefault="0065531C" w:rsidP="0065531C"/>
    <w:p w:rsidR="00F35F9F" w:rsidRDefault="00F35F9F">
      <w:pPr>
        <w:rPr>
          <w:b/>
        </w:rPr>
      </w:pPr>
      <w:r>
        <w:rPr>
          <w:b/>
        </w:rPr>
        <w:br w:type="page"/>
      </w:r>
    </w:p>
    <w:p w:rsidR="00F35F9F" w:rsidRPr="00A73243" w:rsidRDefault="00F35F9F" w:rsidP="00F35F9F">
      <w:pPr>
        <w:rPr>
          <w:rFonts w:ascii="Arial" w:hAnsi="Arial" w:cs="Arial"/>
          <w:b/>
          <w:sz w:val="24"/>
          <w:szCs w:val="24"/>
        </w:rPr>
      </w:pPr>
      <w:r w:rsidRPr="00A73243">
        <w:rPr>
          <w:rFonts w:ascii="Arial" w:hAnsi="Arial" w:cs="Arial"/>
          <w:b/>
          <w:sz w:val="24"/>
          <w:szCs w:val="24"/>
        </w:rPr>
        <w:lastRenderedPageBreak/>
        <w:t>Blank template risk register</w:t>
      </w:r>
    </w:p>
    <w:tbl>
      <w:tblPr>
        <w:tblStyle w:val="TableGrid"/>
        <w:tblW w:w="0" w:type="auto"/>
        <w:tblLook w:val="04A0" w:firstRow="1" w:lastRow="0" w:firstColumn="1" w:lastColumn="0" w:noHBand="0" w:noVBand="1"/>
      </w:tblPr>
      <w:tblGrid>
        <w:gridCol w:w="2207"/>
        <w:gridCol w:w="1790"/>
        <w:gridCol w:w="1386"/>
        <w:gridCol w:w="1400"/>
        <w:gridCol w:w="2577"/>
        <w:gridCol w:w="2433"/>
        <w:gridCol w:w="2579"/>
        <w:gridCol w:w="2434"/>
        <w:gridCol w:w="2139"/>
        <w:gridCol w:w="1979"/>
      </w:tblGrid>
      <w:tr w:rsidR="00F35F9F" w:rsidRPr="00F35F9F" w:rsidTr="002B5826">
        <w:tc>
          <w:tcPr>
            <w:tcW w:w="2207" w:type="dxa"/>
          </w:tcPr>
          <w:p w:rsidR="00F35F9F" w:rsidRPr="00F35F9F" w:rsidRDefault="00F35F9F" w:rsidP="00F35F9F">
            <w:pPr>
              <w:spacing w:after="160" w:line="259" w:lineRule="auto"/>
              <w:rPr>
                <w:b/>
              </w:rPr>
            </w:pPr>
            <w:r w:rsidRPr="00F35F9F">
              <w:rPr>
                <w:b/>
              </w:rPr>
              <w:t>Risk area/risk identified</w:t>
            </w:r>
            <w:r w:rsidRPr="00F35F9F">
              <w:rPr>
                <w:b/>
              </w:rPr>
              <w:tab/>
            </w:r>
          </w:p>
        </w:tc>
        <w:tc>
          <w:tcPr>
            <w:tcW w:w="1790" w:type="dxa"/>
          </w:tcPr>
          <w:p w:rsidR="00F35F9F" w:rsidRPr="00F35F9F" w:rsidRDefault="00F35F9F" w:rsidP="00F35F9F">
            <w:pPr>
              <w:spacing w:after="160" w:line="259" w:lineRule="auto"/>
              <w:rPr>
                <w:b/>
              </w:rPr>
            </w:pPr>
            <w:r w:rsidRPr="00F35F9F">
              <w:rPr>
                <w:b/>
              </w:rPr>
              <w:t>Likelihood of occurrence (score)</w:t>
            </w:r>
            <w:r w:rsidRPr="00F35F9F">
              <w:rPr>
                <w:b/>
              </w:rPr>
              <w:tab/>
            </w:r>
          </w:p>
        </w:tc>
        <w:tc>
          <w:tcPr>
            <w:tcW w:w="1386" w:type="dxa"/>
          </w:tcPr>
          <w:p w:rsidR="00F35F9F" w:rsidRPr="00F35F9F" w:rsidRDefault="00F35F9F" w:rsidP="00F35F9F">
            <w:pPr>
              <w:spacing w:after="160" w:line="259" w:lineRule="auto"/>
              <w:rPr>
                <w:b/>
              </w:rPr>
            </w:pPr>
            <w:r w:rsidRPr="00F35F9F">
              <w:rPr>
                <w:b/>
              </w:rPr>
              <w:t>Severity of impact (score)</w:t>
            </w:r>
          </w:p>
        </w:tc>
        <w:tc>
          <w:tcPr>
            <w:tcW w:w="1400" w:type="dxa"/>
          </w:tcPr>
          <w:p w:rsidR="00F35F9F" w:rsidRPr="00F35F9F" w:rsidRDefault="00F35F9F" w:rsidP="00F35F9F">
            <w:pPr>
              <w:spacing w:after="160" w:line="259" w:lineRule="auto"/>
              <w:rPr>
                <w:b/>
              </w:rPr>
            </w:pPr>
            <w:r w:rsidRPr="00F35F9F">
              <w:rPr>
                <w:b/>
              </w:rPr>
              <w:t>Overall or ‘gross’ risk</w:t>
            </w:r>
          </w:p>
        </w:tc>
        <w:tc>
          <w:tcPr>
            <w:tcW w:w="2577" w:type="dxa"/>
          </w:tcPr>
          <w:p w:rsidR="00F35F9F" w:rsidRPr="00F35F9F" w:rsidRDefault="00F35F9F" w:rsidP="00F35F9F">
            <w:pPr>
              <w:spacing w:after="160" w:line="259" w:lineRule="auto"/>
              <w:rPr>
                <w:b/>
              </w:rPr>
            </w:pPr>
            <w:r w:rsidRPr="00F35F9F">
              <w:rPr>
                <w:b/>
              </w:rPr>
              <w:t>Control procedure</w:t>
            </w:r>
          </w:p>
        </w:tc>
        <w:tc>
          <w:tcPr>
            <w:tcW w:w="2433" w:type="dxa"/>
          </w:tcPr>
          <w:p w:rsidR="00F35F9F" w:rsidRPr="00F35F9F" w:rsidRDefault="00F35F9F" w:rsidP="00F35F9F">
            <w:pPr>
              <w:spacing w:after="160" w:line="259" w:lineRule="auto"/>
              <w:rPr>
                <w:b/>
              </w:rPr>
            </w:pPr>
            <w:r w:rsidRPr="00F35F9F">
              <w:rPr>
                <w:b/>
              </w:rPr>
              <w:t>Retained or ‘net’ risk</w:t>
            </w:r>
            <w:r w:rsidRPr="00F35F9F">
              <w:rPr>
                <w:b/>
              </w:rPr>
              <w:tab/>
            </w:r>
          </w:p>
        </w:tc>
        <w:tc>
          <w:tcPr>
            <w:tcW w:w="2579" w:type="dxa"/>
          </w:tcPr>
          <w:p w:rsidR="00F35F9F" w:rsidRPr="00F35F9F" w:rsidRDefault="00F35F9F" w:rsidP="00F35F9F">
            <w:pPr>
              <w:spacing w:after="160" w:line="259" w:lineRule="auto"/>
              <w:rPr>
                <w:b/>
              </w:rPr>
            </w:pPr>
            <w:r w:rsidRPr="00F35F9F">
              <w:rPr>
                <w:b/>
              </w:rPr>
              <w:t>Monitoring process</w:t>
            </w:r>
            <w:r w:rsidRPr="00F35F9F">
              <w:rPr>
                <w:b/>
              </w:rPr>
              <w:tab/>
            </w:r>
          </w:p>
        </w:tc>
        <w:tc>
          <w:tcPr>
            <w:tcW w:w="2434" w:type="dxa"/>
          </w:tcPr>
          <w:p w:rsidR="00F35F9F" w:rsidRPr="00F35F9F" w:rsidRDefault="00F35F9F" w:rsidP="00F35F9F">
            <w:pPr>
              <w:spacing w:after="160" w:line="259" w:lineRule="auto"/>
              <w:rPr>
                <w:b/>
              </w:rPr>
            </w:pPr>
            <w:r w:rsidRPr="00F35F9F">
              <w:rPr>
                <w:b/>
              </w:rPr>
              <w:t>Responsibility</w:t>
            </w:r>
          </w:p>
        </w:tc>
        <w:tc>
          <w:tcPr>
            <w:tcW w:w="2139" w:type="dxa"/>
          </w:tcPr>
          <w:p w:rsidR="00F35F9F" w:rsidRPr="00F35F9F" w:rsidRDefault="00F35F9F" w:rsidP="00F35F9F">
            <w:pPr>
              <w:spacing w:after="160" w:line="259" w:lineRule="auto"/>
              <w:rPr>
                <w:b/>
              </w:rPr>
            </w:pPr>
            <w:r w:rsidRPr="00F35F9F">
              <w:rPr>
                <w:b/>
              </w:rPr>
              <w:t>Further action required</w:t>
            </w:r>
          </w:p>
        </w:tc>
        <w:tc>
          <w:tcPr>
            <w:tcW w:w="1979" w:type="dxa"/>
          </w:tcPr>
          <w:p w:rsidR="00F35F9F" w:rsidRPr="00F35F9F" w:rsidRDefault="00F35F9F" w:rsidP="00F35F9F">
            <w:pPr>
              <w:spacing w:after="160" w:line="259" w:lineRule="auto"/>
              <w:rPr>
                <w:b/>
              </w:rPr>
            </w:pPr>
            <w:r w:rsidRPr="00F35F9F">
              <w:rPr>
                <w:b/>
              </w:rPr>
              <w:t>Date of review</w:t>
            </w:r>
          </w:p>
        </w:tc>
      </w:tr>
      <w:tr w:rsidR="00F35F9F" w:rsidRPr="00F35F9F" w:rsidTr="002B5826">
        <w:tc>
          <w:tcPr>
            <w:tcW w:w="2207" w:type="dxa"/>
          </w:tcPr>
          <w:p w:rsidR="00F35F9F" w:rsidRPr="00F35F9F" w:rsidRDefault="00F35F9F" w:rsidP="00F35F9F">
            <w:pPr>
              <w:spacing w:after="160" w:line="259" w:lineRule="auto"/>
              <w:rPr>
                <w:b/>
              </w:rPr>
            </w:pPr>
          </w:p>
        </w:tc>
        <w:tc>
          <w:tcPr>
            <w:tcW w:w="1790" w:type="dxa"/>
          </w:tcPr>
          <w:p w:rsidR="00F35F9F" w:rsidRPr="00F35F9F" w:rsidRDefault="00F35F9F" w:rsidP="00F35F9F">
            <w:pPr>
              <w:spacing w:after="160" w:line="259" w:lineRule="auto"/>
              <w:rPr>
                <w:b/>
              </w:rPr>
            </w:pPr>
          </w:p>
        </w:tc>
        <w:tc>
          <w:tcPr>
            <w:tcW w:w="1386" w:type="dxa"/>
          </w:tcPr>
          <w:p w:rsidR="00F35F9F" w:rsidRPr="00F35F9F" w:rsidRDefault="00F35F9F" w:rsidP="00F35F9F">
            <w:pPr>
              <w:spacing w:after="160" w:line="259" w:lineRule="auto"/>
              <w:rPr>
                <w:b/>
              </w:rPr>
            </w:pPr>
          </w:p>
        </w:tc>
        <w:tc>
          <w:tcPr>
            <w:tcW w:w="1400" w:type="dxa"/>
          </w:tcPr>
          <w:p w:rsidR="00F35F9F" w:rsidRPr="00F35F9F" w:rsidRDefault="00F35F9F" w:rsidP="00F35F9F">
            <w:pPr>
              <w:spacing w:after="160" w:line="259" w:lineRule="auto"/>
              <w:rPr>
                <w:b/>
              </w:rPr>
            </w:pPr>
          </w:p>
        </w:tc>
        <w:tc>
          <w:tcPr>
            <w:tcW w:w="2577" w:type="dxa"/>
          </w:tcPr>
          <w:p w:rsidR="00F35F9F" w:rsidRPr="00F35F9F" w:rsidRDefault="00F35F9F" w:rsidP="00F35F9F">
            <w:pPr>
              <w:spacing w:after="160" w:line="259" w:lineRule="auto"/>
              <w:rPr>
                <w:b/>
              </w:rPr>
            </w:pPr>
          </w:p>
        </w:tc>
        <w:tc>
          <w:tcPr>
            <w:tcW w:w="2433" w:type="dxa"/>
          </w:tcPr>
          <w:p w:rsidR="00F35F9F" w:rsidRPr="00F35F9F" w:rsidRDefault="00F35F9F" w:rsidP="00F35F9F">
            <w:pPr>
              <w:spacing w:after="160" w:line="259" w:lineRule="auto"/>
              <w:rPr>
                <w:b/>
              </w:rPr>
            </w:pPr>
          </w:p>
        </w:tc>
        <w:tc>
          <w:tcPr>
            <w:tcW w:w="2579" w:type="dxa"/>
          </w:tcPr>
          <w:p w:rsidR="00F35F9F" w:rsidRPr="00F35F9F" w:rsidRDefault="00F35F9F" w:rsidP="00F35F9F">
            <w:pPr>
              <w:spacing w:after="160" w:line="259" w:lineRule="auto"/>
              <w:rPr>
                <w:b/>
              </w:rPr>
            </w:pPr>
          </w:p>
        </w:tc>
        <w:tc>
          <w:tcPr>
            <w:tcW w:w="2434" w:type="dxa"/>
          </w:tcPr>
          <w:p w:rsidR="00F35F9F" w:rsidRPr="00F35F9F" w:rsidRDefault="00F35F9F" w:rsidP="00F35F9F">
            <w:pPr>
              <w:spacing w:after="160" w:line="259" w:lineRule="auto"/>
              <w:rPr>
                <w:b/>
              </w:rPr>
            </w:pPr>
          </w:p>
        </w:tc>
        <w:tc>
          <w:tcPr>
            <w:tcW w:w="2139" w:type="dxa"/>
          </w:tcPr>
          <w:p w:rsidR="00F35F9F" w:rsidRPr="00F35F9F" w:rsidRDefault="00F35F9F" w:rsidP="00F35F9F">
            <w:pPr>
              <w:spacing w:after="160" w:line="259" w:lineRule="auto"/>
              <w:rPr>
                <w:b/>
              </w:rPr>
            </w:pPr>
          </w:p>
        </w:tc>
        <w:tc>
          <w:tcPr>
            <w:tcW w:w="1979" w:type="dxa"/>
          </w:tcPr>
          <w:p w:rsidR="00F35F9F" w:rsidRPr="00F35F9F" w:rsidRDefault="00F35F9F" w:rsidP="00F35F9F">
            <w:pPr>
              <w:spacing w:after="160" w:line="259" w:lineRule="auto"/>
              <w:rPr>
                <w:b/>
              </w:rPr>
            </w:pPr>
          </w:p>
        </w:tc>
      </w:tr>
      <w:tr w:rsidR="00F35F9F" w:rsidRPr="00F35F9F" w:rsidTr="002B5826">
        <w:tc>
          <w:tcPr>
            <w:tcW w:w="2207" w:type="dxa"/>
          </w:tcPr>
          <w:p w:rsidR="00F35F9F" w:rsidRPr="00F35F9F" w:rsidRDefault="00F35F9F" w:rsidP="00F35F9F">
            <w:pPr>
              <w:spacing w:after="160" w:line="259" w:lineRule="auto"/>
              <w:rPr>
                <w:b/>
              </w:rPr>
            </w:pPr>
          </w:p>
        </w:tc>
        <w:tc>
          <w:tcPr>
            <w:tcW w:w="1790" w:type="dxa"/>
          </w:tcPr>
          <w:p w:rsidR="00F35F9F" w:rsidRPr="00F35F9F" w:rsidRDefault="00F35F9F" w:rsidP="00F35F9F">
            <w:pPr>
              <w:spacing w:after="160" w:line="259" w:lineRule="auto"/>
              <w:rPr>
                <w:b/>
              </w:rPr>
            </w:pPr>
          </w:p>
        </w:tc>
        <w:tc>
          <w:tcPr>
            <w:tcW w:w="1386" w:type="dxa"/>
          </w:tcPr>
          <w:p w:rsidR="00F35F9F" w:rsidRPr="00F35F9F" w:rsidRDefault="00F35F9F" w:rsidP="00F35F9F">
            <w:pPr>
              <w:spacing w:after="160" w:line="259" w:lineRule="auto"/>
              <w:rPr>
                <w:b/>
              </w:rPr>
            </w:pPr>
          </w:p>
        </w:tc>
        <w:tc>
          <w:tcPr>
            <w:tcW w:w="1400" w:type="dxa"/>
          </w:tcPr>
          <w:p w:rsidR="00F35F9F" w:rsidRPr="00F35F9F" w:rsidRDefault="00F35F9F" w:rsidP="00F35F9F">
            <w:pPr>
              <w:spacing w:after="160" w:line="259" w:lineRule="auto"/>
              <w:rPr>
                <w:b/>
              </w:rPr>
            </w:pPr>
          </w:p>
        </w:tc>
        <w:tc>
          <w:tcPr>
            <w:tcW w:w="2577" w:type="dxa"/>
          </w:tcPr>
          <w:p w:rsidR="00F35F9F" w:rsidRPr="00F35F9F" w:rsidRDefault="00F35F9F" w:rsidP="00F35F9F">
            <w:pPr>
              <w:spacing w:after="160" w:line="259" w:lineRule="auto"/>
              <w:rPr>
                <w:b/>
              </w:rPr>
            </w:pPr>
          </w:p>
        </w:tc>
        <w:tc>
          <w:tcPr>
            <w:tcW w:w="2433" w:type="dxa"/>
          </w:tcPr>
          <w:p w:rsidR="00F35F9F" w:rsidRPr="00F35F9F" w:rsidRDefault="00F35F9F" w:rsidP="00F35F9F">
            <w:pPr>
              <w:spacing w:after="160" w:line="259" w:lineRule="auto"/>
              <w:rPr>
                <w:b/>
              </w:rPr>
            </w:pPr>
          </w:p>
        </w:tc>
        <w:tc>
          <w:tcPr>
            <w:tcW w:w="2579" w:type="dxa"/>
          </w:tcPr>
          <w:p w:rsidR="00F35F9F" w:rsidRPr="00F35F9F" w:rsidRDefault="00F35F9F" w:rsidP="00F35F9F">
            <w:pPr>
              <w:spacing w:after="160" w:line="259" w:lineRule="auto"/>
              <w:rPr>
                <w:b/>
              </w:rPr>
            </w:pPr>
          </w:p>
        </w:tc>
        <w:tc>
          <w:tcPr>
            <w:tcW w:w="2434" w:type="dxa"/>
          </w:tcPr>
          <w:p w:rsidR="00F35F9F" w:rsidRPr="00F35F9F" w:rsidRDefault="00F35F9F" w:rsidP="00F35F9F">
            <w:pPr>
              <w:spacing w:after="160" w:line="259" w:lineRule="auto"/>
              <w:rPr>
                <w:b/>
              </w:rPr>
            </w:pPr>
          </w:p>
        </w:tc>
        <w:tc>
          <w:tcPr>
            <w:tcW w:w="2139" w:type="dxa"/>
          </w:tcPr>
          <w:p w:rsidR="00F35F9F" w:rsidRPr="00F35F9F" w:rsidRDefault="00F35F9F" w:rsidP="00F35F9F">
            <w:pPr>
              <w:spacing w:after="160" w:line="259" w:lineRule="auto"/>
              <w:rPr>
                <w:b/>
              </w:rPr>
            </w:pPr>
          </w:p>
        </w:tc>
        <w:tc>
          <w:tcPr>
            <w:tcW w:w="1979" w:type="dxa"/>
          </w:tcPr>
          <w:p w:rsidR="00F35F9F" w:rsidRPr="00F35F9F" w:rsidRDefault="00F35F9F" w:rsidP="00F35F9F">
            <w:pPr>
              <w:spacing w:after="160" w:line="259" w:lineRule="auto"/>
              <w:rPr>
                <w:b/>
              </w:rPr>
            </w:pPr>
          </w:p>
        </w:tc>
      </w:tr>
      <w:tr w:rsidR="00F35F9F" w:rsidRPr="00F35F9F" w:rsidTr="002B5826">
        <w:tc>
          <w:tcPr>
            <w:tcW w:w="2207" w:type="dxa"/>
          </w:tcPr>
          <w:p w:rsidR="00F35F9F" w:rsidRPr="00F35F9F" w:rsidRDefault="00F35F9F" w:rsidP="00F35F9F">
            <w:pPr>
              <w:spacing w:after="160" w:line="259" w:lineRule="auto"/>
              <w:rPr>
                <w:b/>
              </w:rPr>
            </w:pPr>
          </w:p>
        </w:tc>
        <w:tc>
          <w:tcPr>
            <w:tcW w:w="1790" w:type="dxa"/>
          </w:tcPr>
          <w:p w:rsidR="00F35F9F" w:rsidRPr="00F35F9F" w:rsidRDefault="00F35F9F" w:rsidP="00F35F9F">
            <w:pPr>
              <w:spacing w:after="160" w:line="259" w:lineRule="auto"/>
              <w:rPr>
                <w:b/>
              </w:rPr>
            </w:pPr>
          </w:p>
        </w:tc>
        <w:tc>
          <w:tcPr>
            <w:tcW w:w="1386" w:type="dxa"/>
          </w:tcPr>
          <w:p w:rsidR="00F35F9F" w:rsidRPr="00F35F9F" w:rsidRDefault="00F35F9F" w:rsidP="00F35F9F">
            <w:pPr>
              <w:spacing w:after="160" w:line="259" w:lineRule="auto"/>
              <w:rPr>
                <w:b/>
              </w:rPr>
            </w:pPr>
          </w:p>
        </w:tc>
        <w:tc>
          <w:tcPr>
            <w:tcW w:w="1400" w:type="dxa"/>
          </w:tcPr>
          <w:p w:rsidR="00F35F9F" w:rsidRPr="00F35F9F" w:rsidRDefault="00F35F9F" w:rsidP="00F35F9F">
            <w:pPr>
              <w:spacing w:after="160" w:line="259" w:lineRule="auto"/>
              <w:rPr>
                <w:b/>
              </w:rPr>
            </w:pPr>
          </w:p>
        </w:tc>
        <w:tc>
          <w:tcPr>
            <w:tcW w:w="2577" w:type="dxa"/>
          </w:tcPr>
          <w:p w:rsidR="00F35F9F" w:rsidRPr="00F35F9F" w:rsidRDefault="00F35F9F" w:rsidP="00F35F9F">
            <w:pPr>
              <w:spacing w:after="160" w:line="259" w:lineRule="auto"/>
              <w:rPr>
                <w:b/>
              </w:rPr>
            </w:pPr>
          </w:p>
        </w:tc>
        <w:tc>
          <w:tcPr>
            <w:tcW w:w="2433" w:type="dxa"/>
          </w:tcPr>
          <w:p w:rsidR="00F35F9F" w:rsidRPr="00F35F9F" w:rsidRDefault="00F35F9F" w:rsidP="00F35F9F">
            <w:pPr>
              <w:spacing w:after="160" w:line="259" w:lineRule="auto"/>
              <w:rPr>
                <w:b/>
              </w:rPr>
            </w:pPr>
          </w:p>
        </w:tc>
        <w:tc>
          <w:tcPr>
            <w:tcW w:w="2579" w:type="dxa"/>
          </w:tcPr>
          <w:p w:rsidR="00F35F9F" w:rsidRPr="00F35F9F" w:rsidRDefault="00F35F9F" w:rsidP="00F35F9F">
            <w:pPr>
              <w:spacing w:after="160" w:line="259" w:lineRule="auto"/>
              <w:rPr>
                <w:b/>
              </w:rPr>
            </w:pPr>
          </w:p>
        </w:tc>
        <w:tc>
          <w:tcPr>
            <w:tcW w:w="2434" w:type="dxa"/>
          </w:tcPr>
          <w:p w:rsidR="00F35F9F" w:rsidRPr="00F35F9F" w:rsidRDefault="00F35F9F" w:rsidP="00F35F9F">
            <w:pPr>
              <w:spacing w:after="160" w:line="259" w:lineRule="auto"/>
              <w:rPr>
                <w:b/>
              </w:rPr>
            </w:pPr>
          </w:p>
        </w:tc>
        <w:tc>
          <w:tcPr>
            <w:tcW w:w="2139" w:type="dxa"/>
          </w:tcPr>
          <w:p w:rsidR="00F35F9F" w:rsidRPr="00F35F9F" w:rsidRDefault="00F35F9F" w:rsidP="00F35F9F">
            <w:pPr>
              <w:spacing w:after="160" w:line="259" w:lineRule="auto"/>
              <w:rPr>
                <w:b/>
              </w:rPr>
            </w:pPr>
          </w:p>
        </w:tc>
        <w:tc>
          <w:tcPr>
            <w:tcW w:w="1979" w:type="dxa"/>
          </w:tcPr>
          <w:p w:rsidR="00F35F9F" w:rsidRPr="00F35F9F" w:rsidRDefault="00F35F9F" w:rsidP="00F35F9F">
            <w:pPr>
              <w:spacing w:after="160" w:line="259" w:lineRule="auto"/>
              <w:rPr>
                <w:b/>
              </w:rPr>
            </w:pPr>
          </w:p>
        </w:tc>
      </w:tr>
      <w:tr w:rsidR="00F35F9F" w:rsidRPr="00F35F9F" w:rsidTr="002B5826">
        <w:tc>
          <w:tcPr>
            <w:tcW w:w="2207" w:type="dxa"/>
          </w:tcPr>
          <w:p w:rsidR="00F35F9F" w:rsidRPr="00F35F9F" w:rsidRDefault="00F35F9F" w:rsidP="00F35F9F">
            <w:pPr>
              <w:spacing w:after="160" w:line="259" w:lineRule="auto"/>
              <w:rPr>
                <w:b/>
              </w:rPr>
            </w:pPr>
          </w:p>
        </w:tc>
        <w:tc>
          <w:tcPr>
            <w:tcW w:w="1790" w:type="dxa"/>
          </w:tcPr>
          <w:p w:rsidR="00F35F9F" w:rsidRPr="00F35F9F" w:rsidRDefault="00F35F9F" w:rsidP="00F35F9F">
            <w:pPr>
              <w:spacing w:after="160" w:line="259" w:lineRule="auto"/>
              <w:rPr>
                <w:b/>
              </w:rPr>
            </w:pPr>
          </w:p>
        </w:tc>
        <w:tc>
          <w:tcPr>
            <w:tcW w:w="1386" w:type="dxa"/>
          </w:tcPr>
          <w:p w:rsidR="00F35F9F" w:rsidRPr="00F35F9F" w:rsidRDefault="00F35F9F" w:rsidP="00F35F9F">
            <w:pPr>
              <w:spacing w:after="160" w:line="259" w:lineRule="auto"/>
              <w:rPr>
                <w:b/>
              </w:rPr>
            </w:pPr>
          </w:p>
        </w:tc>
        <w:tc>
          <w:tcPr>
            <w:tcW w:w="1400" w:type="dxa"/>
          </w:tcPr>
          <w:p w:rsidR="00F35F9F" w:rsidRPr="00F35F9F" w:rsidRDefault="00F35F9F" w:rsidP="00F35F9F">
            <w:pPr>
              <w:spacing w:after="160" w:line="259" w:lineRule="auto"/>
              <w:rPr>
                <w:b/>
              </w:rPr>
            </w:pPr>
          </w:p>
        </w:tc>
        <w:tc>
          <w:tcPr>
            <w:tcW w:w="2577" w:type="dxa"/>
          </w:tcPr>
          <w:p w:rsidR="00F35F9F" w:rsidRPr="00F35F9F" w:rsidRDefault="00F35F9F" w:rsidP="00F35F9F">
            <w:pPr>
              <w:spacing w:after="160" w:line="259" w:lineRule="auto"/>
              <w:rPr>
                <w:b/>
              </w:rPr>
            </w:pPr>
          </w:p>
        </w:tc>
        <w:tc>
          <w:tcPr>
            <w:tcW w:w="2433" w:type="dxa"/>
          </w:tcPr>
          <w:p w:rsidR="00F35F9F" w:rsidRPr="00F35F9F" w:rsidRDefault="00F35F9F" w:rsidP="00F35F9F">
            <w:pPr>
              <w:spacing w:after="160" w:line="259" w:lineRule="auto"/>
              <w:rPr>
                <w:b/>
              </w:rPr>
            </w:pPr>
          </w:p>
        </w:tc>
        <w:tc>
          <w:tcPr>
            <w:tcW w:w="2579" w:type="dxa"/>
          </w:tcPr>
          <w:p w:rsidR="00F35F9F" w:rsidRPr="00F35F9F" w:rsidRDefault="00F35F9F" w:rsidP="00F35F9F">
            <w:pPr>
              <w:spacing w:after="160" w:line="259" w:lineRule="auto"/>
              <w:rPr>
                <w:b/>
              </w:rPr>
            </w:pPr>
          </w:p>
        </w:tc>
        <w:tc>
          <w:tcPr>
            <w:tcW w:w="2434" w:type="dxa"/>
          </w:tcPr>
          <w:p w:rsidR="00F35F9F" w:rsidRPr="00F35F9F" w:rsidRDefault="00F35F9F" w:rsidP="00F35F9F">
            <w:pPr>
              <w:spacing w:after="160" w:line="259" w:lineRule="auto"/>
              <w:rPr>
                <w:b/>
              </w:rPr>
            </w:pPr>
          </w:p>
        </w:tc>
        <w:tc>
          <w:tcPr>
            <w:tcW w:w="2139" w:type="dxa"/>
          </w:tcPr>
          <w:p w:rsidR="00F35F9F" w:rsidRPr="00F35F9F" w:rsidRDefault="00F35F9F" w:rsidP="00F35F9F">
            <w:pPr>
              <w:spacing w:after="160" w:line="259" w:lineRule="auto"/>
              <w:rPr>
                <w:b/>
              </w:rPr>
            </w:pPr>
          </w:p>
        </w:tc>
        <w:tc>
          <w:tcPr>
            <w:tcW w:w="1979" w:type="dxa"/>
          </w:tcPr>
          <w:p w:rsidR="00F35F9F" w:rsidRPr="00F35F9F" w:rsidRDefault="00F35F9F" w:rsidP="00F35F9F">
            <w:pPr>
              <w:spacing w:after="160" w:line="259" w:lineRule="auto"/>
              <w:rPr>
                <w:b/>
              </w:rPr>
            </w:pPr>
          </w:p>
        </w:tc>
      </w:tr>
      <w:tr w:rsidR="00F35F9F" w:rsidRPr="00F35F9F" w:rsidTr="002B5826">
        <w:tc>
          <w:tcPr>
            <w:tcW w:w="2207" w:type="dxa"/>
          </w:tcPr>
          <w:p w:rsidR="00F35F9F" w:rsidRPr="00F35F9F" w:rsidRDefault="00F35F9F" w:rsidP="00F35F9F">
            <w:pPr>
              <w:spacing w:after="160" w:line="259" w:lineRule="auto"/>
              <w:rPr>
                <w:b/>
              </w:rPr>
            </w:pPr>
          </w:p>
        </w:tc>
        <w:tc>
          <w:tcPr>
            <w:tcW w:w="1790" w:type="dxa"/>
          </w:tcPr>
          <w:p w:rsidR="00F35F9F" w:rsidRPr="00F35F9F" w:rsidRDefault="00F35F9F" w:rsidP="00F35F9F">
            <w:pPr>
              <w:spacing w:after="160" w:line="259" w:lineRule="auto"/>
              <w:rPr>
                <w:b/>
              </w:rPr>
            </w:pPr>
          </w:p>
        </w:tc>
        <w:tc>
          <w:tcPr>
            <w:tcW w:w="1386" w:type="dxa"/>
          </w:tcPr>
          <w:p w:rsidR="00F35F9F" w:rsidRPr="00F35F9F" w:rsidRDefault="00F35F9F" w:rsidP="00F35F9F">
            <w:pPr>
              <w:spacing w:after="160" w:line="259" w:lineRule="auto"/>
              <w:rPr>
                <w:b/>
              </w:rPr>
            </w:pPr>
          </w:p>
        </w:tc>
        <w:tc>
          <w:tcPr>
            <w:tcW w:w="1400" w:type="dxa"/>
          </w:tcPr>
          <w:p w:rsidR="00F35F9F" w:rsidRPr="00F35F9F" w:rsidRDefault="00F35F9F" w:rsidP="00F35F9F">
            <w:pPr>
              <w:spacing w:after="160" w:line="259" w:lineRule="auto"/>
              <w:rPr>
                <w:b/>
              </w:rPr>
            </w:pPr>
          </w:p>
        </w:tc>
        <w:tc>
          <w:tcPr>
            <w:tcW w:w="2577" w:type="dxa"/>
          </w:tcPr>
          <w:p w:rsidR="00F35F9F" w:rsidRPr="00F35F9F" w:rsidRDefault="00F35F9F" w:rsidP="00F35F9F">
            <w:pPr>
              <w:spacing w:after="160" w:line="259" w:lineRule="auto"/>
              <w:rPr>
                <w:b/>
              </w:rPr>
            </w:pPr>
          </w:p>
        </w:tc>
        <w:tc>
          <w:tcPr>
            <w:tcW w:w="2433" w:type="dxa"/>
          </w:tcPr>
          <w:p w:rsidR="00F35F9F" w:rsidRPr="00F35F9F" w:rsidRDefault="00F35F9F" w:rsidP="00F35F9F">
            <w:pPr>
              <w:spacing w:after="160" w:line="259" w:lineRule="auto"/>
              <w:rPr>
                <w:b/>
              </w:rPr>
            </w:pPr>
          </w:p>
        </w:tc>
        <w:tc>
          <w:tcPr>
            <w:tcW w:w="2579" w:type="dxa"/>
          </w:tcPr>
          <w:p w:rsidR="00F35F9F" w:rsidRPr="00F35F9F" w:rsidRDefault="00F35F9F" w:rsidP="00F35F9F">
            <w:pPr>
              <w:spacing w:after="160" w:line="259" w:lineRule="auto"/>
              <w:rPr>
                <w:b/>
              </w:rPr>
            </w:pPr>
          </w:p>
        </w:tc>
        <w:tc>
          <w:tcPr>
            <w:tcW w:w="2434" w:type="dxa"/>
          </w:tcPr>
          <w:p w:rsidR="00F35F9F" w:rsidRPr="00F35F9F" w:rsidRDefault="00F35F9F" w:rsidP="00F35F9F">
            <w:pPr>
              <w:spacing w:after="160" w:line="259" w:lineRule="auto"/>
              <w:rPr>
                <w:b/>
              </w:rPr>
            </w:pPr>
          </w:p>
        </w:tc>
        <w:tc>
          <w:tcPr>
            <w:tcW w:w="2139" w:type="dxa"/>
          </w:tcPr>
          <w:p w:rsidR="00F35F9F" w:rsidRPr="00F35F9F" w:rsidRDefault="00F35F9F" w:rsidP="00F35F9F">
            <w:pPr>
              <w:spacing w:after="160" w:line="259" w:lineRule="auto"/>
              <w:rPr>
                <w:b/>
              </w:rPr>
            </w:pPr>
          </w:p>
        </w:tc>
        <w:tc>
          <w:tcPr>
            <w:tcW w:w="1979" w:type="dxa"/>
          </w:tcPr>
          <w:p w:rsidR="00F35F9F" w:rsidRPr="00F35F9F" w:rsidRDefault="00F35F9F" w:rsidP="00F35F9F">
            <w:pPr>
              <w:spacing w:after="160" w:line="259" w:lineRule="auto"/>
              <w:rPr>
                <w:b/>
              </w:rPr>
            </w:pPr>
          </w:p>
        </w:tc>
      </w:tr>
      <w:tr w:rsidR="00F35F9F" w:rsidRPr="00F35F9F" w:rsidTr="002B5826">
        <w:tc>
          <w:tcPr>
            <w:tcW w:w="2207" w:type="dxa"/>
          </w:tcPr>
          <w:p w:rsidR="00F35F9F" w:rsidRPr="00F35F9F" w:rsidRDefault="00F35F9F" w:rsidP="00F35F9F">
            <w:pPr>
              <w:spacing w:after="160" w:line="259" w:lineRule="auto"/>
              <w:rPr>
                <w:b/>
              </w:rPr>
            </w:pPr>
          </w:p>
        </w:tc>
        <w:tc>
          <w:tcPr>
            <w:tcW w:w="1790" w:type="dxa"/>
          </w:tcPr>
          <w:p w:rsidR="00F35F9F" w:rsidRPr="00F35F9F" w:rsidRDefault="00F35F9F" w:rsidP="00F35F9F">
            <w:pPr>
              <w:spacing w:after="160" w:line="259" w:lineRule="auto"/>
              <w:rPr>
                <w:b/>
              </w:rPr>
            </w:pPr>
          </w:p>
        </w:tc>
        <w:tc>
          <w:tcPr>
            <w:tcW w:w="1386" w:type="dxa"/>
          </w:tcPr>
          <w:p w:rsidR="00F35F9F" w:rsidRPr="00F35F9F" w:rsidRDefault="00F35F9F" w:rsidP="00F35F9F">
            <w:pPr>
              <w:spacing w:after="160" w:line="259" w:lineRule="auto"/>
              <w:rPr>
                <w:b/>
              </w:rPr>
            </w:pPr>
          </w:p>
        </w:tc>
        <w:tc>
          <w:tcPr>
            <w:tcW w:w="1400" w:type="dxa"/>
          </w:tcPr>
          <w:p w:rsidR="00F35F9F" w:rsidRPr="00F35F9F" w:rsidRDefault="00F35F9F" w:rsidP="00F35F9F">
            <w:pPr>
              <w:spacing w:after="160" w:line="259" w:lineRule="auto"/>
              <w:rPr>
                <w:b/>
              </w:rPr>
            </w:pPr>
          </w:p>
        </w:tc>
        <w:tc>
          <w:tcPr>
            <w:tcW w:w="2577" w:type="dxa"/>
          </w:tcPr>
          <w:p w:rsidR="00F35F9F" w:rsidRPr="00F35F9F" w:rsidRDefault="00F35F9F" w:rsidP="00F35F9F">
            <w:pPr>
              <w:spacing w:after="160" w:line="259" w:lineRule="auto"/>
              <w:rPr>
                <w:b/>
              </w:rPr>
            </w:pPr>
          </w:p>
        </w:tc>
        <w:tc>
          <w:tcPr>
            <w:tcW w:w="2433" w:type="dxa"/>
          </w:tcPr>
          <w:p w:rsidR="00F35F9F" w:rsidRPr="00F35F9F" w:rsidRDefault="00F35F9F" w:rsidP="00F35F9F">
            <w:pPr>
              <w:spacing w:after="160" w:line="259" w:lineRule="auto"/>
              <w:rPr>
                <w:b/>
              </w:rPr>
            </w:pPr>
          </w:p>
        </w:tc>
        <w:tc>
          <w:tcPr>
            <w:tcW w:w="2579" w:type="dxa"/>
          </w:tcPr>
          <w:p w:rsidR="00F35F9F" w:rsidRPr="00F35F9F" w:rsidRDefault="00F35F9F" w:rsidP="00F35F9F">
            <w:pPr>
              <w:spacing w:after="160" w:line="259" w:lineRule="auto"/>
              <w:rPr>
                <w:b/>
              </w:rPr>
            </w:pPr>
          </w:p>
        </w:tc>
        <w:tc>
          <w:tcPr>
            <w:tcW w:w="2434" w:type="dxa"/>
          </w:tcPr>
          <w:p w:rsidR="00F35F9F" w:rsidRPr="00F35F9F" w:rsidRDefault="00F35F9F" w:rsidP="00F35F9F">
            <w:pPr>
              <w:spacing w:after="160" w:line="259" w:lineRule="auto"/>
              <w:rPr>
                <w:b/>
              </w:rPr>
            </w:pPr>
          </w:p>
        </w:tc>
        <w:tc>
          <w:tcPr>
            <w:tcW w:w="2139" w:type="dxa"/>
          </w:tcPr>
          <w:p w:rsidR="00F35F9F" w:rsidRPr="00F35F9F" w:rsidRDefault="00F35F9F" w:rsidP="00F35F9F">
            <w:pPr>
              <w:spacing w:after="160" w:line="259" w:lineRule="auto"/>
              <w:rPr>
                <w:b/>
              </w:rPr>
            </w:pPr>
          </w:p>
        </w:tc>
        <w:tc>
          <w:tcPr>
            <w:tcW w:w="1979" w:type="dxa"/>
          </w:tcPr>
          <w:p w:rsidR="00F35F9F" w:rsidRPr="00F35F9F" w:rsidRDefault="00F35F9F" w:rsidP="00F35F9F">
            <w:pPr>
              <w:spacing w:after="160" w:line="259" w:lineRule="auto"/>
              <w:rPr>
                <w:b/>
              </w:rPr>
            </w:pPr>
          </w:p>
        </w:tc>
      </w:tr>
      <w:tr w:rsidR="00F35F9F" w:rsidRPr="00F35F9F" w:rsidTr="002B5826">
        <w:tc>
          <w:tcPr>
            <w:tcW w:w="2207" w:type="dxa"/>
          </w:tcPr>
          <w:p w:rsidR="00F35F9F" w:rsidRPr="00F35F9F" w:rsidRDefault="00F35F9F" w:rsidP="00F35F9F">
            <w:pPr>
              <w:spacing w:after="160" w:line="259" w:lineRule="auto"/>
              <w:rPr>
                <w:b/>
              </w:rPr>
            </w:pPr>
          </w:p>
        </w:tc>
        <w:tc>
          <w:tcPr>
            <w:tcW w:w="1790" w:type="dxa"/>
          </w:tcPr>
          <w:p w:rsidR="00F35F9F" w:rsidRPr="00F35F9F" w:rsidRDefault="00F35F9F" w:rsidP="00F35F9F">
            <w:pPr>
              <w:spacing w:after="160" w:line="259" w:lineRule="auto"/>
              <w:rPr>
                <w:b/>
              </w:rPr>
            </w:pPr>
          </w:p>
        </w:tc>
        <w:tc>
          <w:tcPr>
            <w:tcW w:w="1386" w:type="dxa"/>
          </w:tcPr>
          <w:p w:rsidR="00F35F9F" w:rsidRPr="00F35F9F" w:rsidRDefault="00F35F9F" w:rsidP="00F35F9F">
            <w:pPr>
              <w:spacing w:after="160" w:line="259" w:lineRule="auto"/>
              <w:rPr>
                <w:b/>
              </w:rPr>
            </w:pPr>
          </w:p>
        </w:tc>
        <w:tc>
          <w:tcPr>
            <w:tcW w:w="1400" w:type="dxa"/>
          </w:tcPr>
          <w:p w:rsidR="00F35F9F" w:rsidRPr="00F35F9F" w:rsidRDefault="00F35F9F" w:rsidP="00F35F9F">
            <w:pPr>
              <w:spacing w:after="160" w:line="259" w:lineRule="auto"/>
              <w:rPr>
                <w:b/>
              </w:rPr>
            </w:pPr>
          </w:p>
        </w:tc>
        <w:tc>
          <w:tcPr>
            <w:tcW w:w="2577" w:type="dxa"/>
          </w:tcPr>
          <w:p w:rsidR="00F35F9F" w:rsidRPr="00F35F9F" w:rsidRDefault="00F35F9F" w:rsidP="00F35F9F">
            <w:pPr>
              <w:spacing w:after="160" w:line="259" w:lineRule="auto"/>
              <w:rPr>
                <w:b/>
              </w:rPr>
            </w:pPr>
          </w:p>
        </w:tc>
        <w:tc>
          <w:tcPr>
            <w:tcW w:w="2433" w:type="dxa"/>
          </w:tcPr>
          <w:p w:rsidR="00F35F9F" w:rsidRPr="00F35F9F" w:rsidRDefault="00F35F9F" w:rsidP="00F35F9F">
            <w:pPr>
              <w:spacing w:after="160" w:line="259" w:lineRule="auto"/>
              <w:rPr>
                <w:b/>
              </w:rPr>
            </w:pPr>
          </w:p>
        </w:tc>
        <w:tc>
          <w:tcPr>
            <w:tcW w:w="2579" w:type="dxa"/>
          </w:tcPr>
          <w:p w:rsidR="00F35F9F" w:rsidRPr="00F35F9F" w:rsidRDefault="00F35F9F" w:rsidP="00F35F9F">
            <w:pPr>
              <w:spacing w:after="160" w:line="259" w:lineRule="auto"/>
              <w:rPr>
                <w:b/>
              </w:rPr>
            </w:pPr>
          </w:p>
        </w:tc>
        <w:tc>
          <w:tcPr>
            <w:tcW w:w="2434" w:type="dxa"/>
          </w:tcPr>
          <w:p w:rsidR="00F35F9F" w:rsidRPr="00F35F9F" w:rsidRDefault="00F35F9F" w:rsidP="00F35F9F">
            <w:pPr>
              <w:spacing w:after="160" w:line="259" w:lineRule="auto"/>
              <w:rPr>
                <w:b/>
              </w:rPr>
            </w:pPr>
          </w:p>
        </w:tc>
        <w:tc>
          <w:tcPr>
            <w:tcW w:w="2139" w:type="dxa"/>
          </w:tcPr>
          <w:p w:rsidR="00F35F9F" w:rsidRPr="00F35F9F" w:rsidRDefault="00F35F9F" w:rsidP="00F35F9F">
            <w:pPr>
              <w:spacing w:after="160" w:line="259" w:lineRule="auto"/>
              <w:rPr>
                <w:b/>
              </w:rPr>
            </w:pPr>
          </w:p>
        </w:tc>
        <w:tc>
          <w:tcPr>
            <w:tcW w:w="1979" w:type="dxa"/>
          </w:tcPr>
          <w:p w:rsidR="00F35F9F" w:rsidRPr="00F35F9F" w:rsidRDefault="00F35F9F" w:rsidP="00F35F9F">
            <w:pPr>
              <w:spacing w:after="160" w:line="259" w:lineRule="auto"/>
              <w:rPr>
                <w:b/>
              </w:rPr>
            </w:pPr>
          </w:p>
        </w:tc>
      </w:tr>
      <w:tr w:rsidR="00F35F9F" w:rsidRPr="00F35F9F" w:rsidTr="002B5826">
        <w:tc>
          <w:tcPr>
            <w:tcW w:w="2207" w:type="dxa"/>
          </w:tcPr>
          <w:p w:rsidR="00F35F9F" w:rsidRPr="00F35F9F" w:rsidRDefault="00F35F9F" w:rsidP="00F35F9F">
            <w:pPr>
              <w:spacing w:after="160" w:line="259" w:lineRule="auto"/>
              <w:rPr>
                <w:b/>
              </w:rPr>
            </w:pPr>
          </w:p>
        </w:tc>
        <w:tc>
          <w:tcPr>
            <w:tcW w:w="1790" w:type="dxa"/>
          </w:tcPr>
          <w:p w:rsidR="00F35F9F" w:rsidRPr="00F35F9F" w:rsidRDefault="00F35F9F" w:rsidP="00F35F9F">
            <w:pPr>
              <w:spacing w:after="160" w:line="259" w:lineRule="auto"/>
              <w:rPr>
                <w:b/>
              </w:rPr>
            </w:pPr>
          </w:p>
        </w:tc>
        <w:tc>
          <w:tcPr>
            <w:tcW w:w="1386" w:type="dxa"/>
          </w:tcPr>
          <w:p w:rsidR="00F35F9F" w:rsidRPr="00F35F9F" w:rsidRDefault="00F35F9F" w:rsidP="00F35F9F">
            <w:pPr>
              <w:spacing w:after="160" w:line="259" w:lineRule="auto"/>
              <w:rPr>
                <w:b/>
              </w:rPr>
            </w:pPr>
          </w:p>
        </w:tc>
        <w:tc>
          <w:tcPr>
            <w:tcW w:w="1400" w:type="dxa"/>
          </w:tcPr>
          <w:p w:rsidR="00F35F9F" w:rsidRPr="00F35F9F" w:rsidRDefault="00F35F9F" w:rsidP="00F35F9F">
            <w:pPr>
              <w:spacing w:after="160" w:line="259" w:lineRule="auto"/>
              <w:rPr>
                <w:b/>
              </w:rPr>
            </w:pPr>
          </w:p>
        </w:tc>
        <w:tc>
          <w:tcPr>
            <w:tcW w:w="2577" w:type="dxa"/>
          </w:tcPr>
          <w:p w:rsidR="00F35F9F" w:rsidRPr="00F35F9F" w:rsidRDefault="00F35F9F" w:rsidP="00F35F9F">
            <w:pPr>
              <w:spacing w:after="160" w:line="259" w:lineRule="auto"/>
              <w:rPr>
                <w:b/>
              </w:rPr>
            </w:pPr>
          </w:p>
        </w:tc>
        <w:tc>
          <w:tcPr>
            <w:tcW w:w="2433" w:type="dxa"/>
          </w:tcPr>
          <w:p w:rsidR="00F35F9F" w:rsidRPr="00F35F9F" w:rsidRDefault="00F35F9F" w:rsidP="00F35F9F">
            <w:pPr>
              <w:spacing w:after="160" w:line="259" w:lineRule="auto"/>
              <w:rPr>
                <w:b/>
              </w:rPr>
            </w:pPr>
          </w:p>
        </w:tc>
        <w:tc>
          <w:tcPr>
            <w:tcW w:w="2579" w:type="dxa"/>
          </w:tcPr>
          <w:p w:rsidR="00F35F9F" w:rsidRPr="00F35F9F" w:rsidRDefault="00F35F9F" w:rsidP="00F35F9F">
            <w:pPr>
              <w:spacing w:after="160" w:line="259" w:lineRule="auto"/>
              <w:rPr>
                <w:b/>
              </w:rPr>
            </w:pPr>
          </w:p>
        </w:tc>
        <w:tc>
          <w:tcPr>
            <w:tcW w:w="2434" w:type="dxa"/>
          </w:tcPr>
          <w:p w:rsidR="00F35F9F" w:rsidRPr="00F35F9F" w:rsidRDefault="00F35F9F" w:rsidP="00F35F9F">
            <w:pPr>
              <w:spacing w:after="160" w:line="259" w:lineRule="auto"/>
              <w:rPr>
                <w:b/>
              </w:rPr>
            </w:pPr>
          </w:p>
        </w:tc>
        <w:tc>
          <w:tcPr>
            <w:tcW w:w="2139" w:type="dxa"/>
          </w:tcPr>
          <w:p w:rsidR="00F35F9F" w:rsidRPr="00F35F9F" w:rsidRDefault="00F35F9F" w:rsidP="00F35F9F">
            <w:pPr>
              <w:spacing w:after="160" w:line="259" w:lineRule="auto"/>
              <w:rPr>
                <w:b/>
              </w:rPr>
            </w:pPr>
          </w:p>
        </w:tc>
        <w:tc>
          <w:tcPr>
            <w:tcW w:w="1979" w:type="dxa"/>
          </w:tcPr>
          <w:p w:rsidR="00F35F9F" w:rsidRPr="00F35F9F" w:rsidRDefault="00F35F9F" w:rsidP="00F35F9F">
            <w:pPr>
              <w:spacing w:after="160" w:line="259" w:lineRule="auto"/>
              <w:rPr>
                <w:b/>
              </w:rPr>
            </w:pPr>
          </w:p>
        </w:tc>
      </w:tr>
      <w:tr w:rsidR="00F35F9F" w:rsidRPr="00F35F9F" w:rsidTr="002B5826">
        <w:tc>
          <w:tcPr>
            <w:tcW w:w="2207" w:type="dxa"/>
          </w:tcPr>
          <w:p w:rsidR="00F35F9F" w:rsidRPr="00F35F9F" w:rsidRDefault="00F35F9F" w:rsidP="00F35F9F">
            <w:pPr>
              <w:spacing w:after="160" w:line="259" w:lineRule="auto"/>
              <w:rPr>
                <w:b/>
              </w:rPr>
            </w:pPr>
          </w:p>
        </w:tc>
        <w:tc>
          <w:tcPr>
            <w:tcW w:w="1790" w:type="dxa"/>
          </w:tcPr>
          <w:p w:rsidR="00F35F9F" w:rsidRPr="00F35F9F" w:rsidRDefault="00F35F9F" w:rsidP="00F35F9F">
            <w:pPr>
              <w:spacing w:after="160" w:line="259" w:lineRule="auto"/>
              <w:rPr>
                <w:b/>
              </w:rPr>
            </w:pPr>
          </w:p>
        </w:tc>
        <w:tc>
          <w:tcPr>
            <w:tcW w:w="1386" w:type="dxa"/>
          </w:tcPr>
          <w:p w:rsidR="00F35F9F" w:rsidRPr="00F35F9F" w:rsidRDefault="00F35F9F" w:rsidP="00F35F9F">
            <w:pPr>
              <w:spacing w:after="160" w:line="259" w:lineRule="auto"/>
              <w:rPr>
                <w:b/>
              </w:rPr>
            </w:pPr>
          </w:p>
        </w:tc>
        <w:tc>
          <w:tcPr>
            <w:tcW w:w="1400" w:type="dxa"/>
          </w:tcPr>
          <w:p w:rsidR="00F35F9F" w:rsidRPr="00F35F9F" w:rsidRDefault="00F35F9F" w:rsidP="00F35F9F">
            <w:pPr>
              <w:spacing w:after="160" w:line="259" w:lineRule="auto"/>
              <w:rPr>
                <w:b/>
              </w:rPr>
            </w:pPr>
          </w:p>
        </w:tc>
        <w:tc>
          <w:tcPr>
            <w:tcW w:w="2577" w:type="dxa"/>
          </w:tcPr>
          <w:p w:rsidR="00F35F9F" w:rsidRPr="00F35F9F" w:rsidRDefault="00F35F9F" w:rsidP="00F35F9F">
            <w:pPr>
              <w:spacing w:after="160" w:line="259" w:lineRule="auto"/>
              <w:rPr>
                <w:b/>
              </w:rPr>
            </w:pPr>
          </w:p>
        </w:tc>
        <w:tc>
          <w:tcPr>
            <w:tcW w:w="2433" w:type="dxa"/>
          </w:tcPr>
          <w:p w:rsidR="00F35F9F" w:rsidRPr="00F35F9F" w:rsidRDefault="00F35F9F" w:rsidP="00F35F9F">
            <w:pPr>
              <w:spacing w:after="160" w:line="259" w:lineRule="auto"/>
              <w:rPr>
                <w:b/>
              </w:rPr>
            </w:pPr>
          </w:p>
        </w:tc>
        <w:tc>
          <w:tcPr>
            <w:tcW w:w="2579" w:type="dxa"/>
          </w:tcPr>
          <w:p w:rsidR="00F35F9F" w:rsidRPr="00F35F9F" w:rsidRDefault="00F35F9F" w:rsidP="00F35F9F">
            <w:pPr>
              <w:spacing w:after="160" w:line="259" w:lineRule="auto"/>
              <w:rPr>
                <w:b/>
              </w:rPr>
            </w:pPr>
          </w:p>
        </w:tc>
        <w:tc>
          <w:tcPr>
            <w:tcW w:w="2434" w:type="dxa"/>
          </w:tcPr>
          <w:p w:rsidR="00F35F9F" w:rsidRPr="00F35F9F" w:rsidRDefault="00F35F9F" w:rsidP="00F35F9F">
            <w:pPr>
              <w:spacing w:after="160" w:line="259" w:lineRule="auto"/>
              <w:rPr>
                <w:b/>
              </w:rPr>
            </w:pPr>
          </w:p>
        </w:tc>
        <w:tc>
          <w:tcPr>
            <w:tcW w:w="2139" w:type="dxa"/>
          </w:tcPr>
          <w:p w:rsidR="00F35F9F" w:rsidRPr="00F35F9F" w:rsidRDefault="00F35F9F" w:rsidP="00F35F9F">
            <w:pPr>
              <w:spacing w:after="160" w:line="259" w:lineRule="auto"/>
              <w:rPr>
                <w:b/>
              </w:rPr>
            </w:pPr>
          </w:p>
        </w:tc>
        <w:tc>
          <w:tcPr>
            <w:tcW w:w="1979" w:type="dxa"/>
          </w:tcPr>
          <w:p w:rsidR="00F35F9F" w:rsidRPr="00F35F9F" w:rsidRDefault="00F35F9F" w:rsidP="00F35F9F">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r w:rsidR="00F35F9F" w:rsidRPr="00F35F9F" w:rsidTr="00F35F9F">
        <w:tc>
          <w:tcPr>
            <w:tcW w:w="2207" w:type="dxa"/>
          </w:tcPr>
          <w:p w:rsidR="00F35F9F" w:rsidRPr="00F35F9F" w:rsidRDefault="00F35F9F" w:rsidP="002B5826">
            <w:pPr>
              <w:spacing w:after="160" w:line="259" w:lineRule="auto"/>
              <w:rPr>
                <w:b/>
              </w:rPr>
            </w:pPr>
          </w:p>
        </w:tc>
        <w:tc>
          <w:tcPr>
            <w:tcW w:w="1790" w:type="dxa"/>
          </w:tcPr>
          <w:p w:rsidR="00F35F9F" w:rsidRPr="00F35F9F" w:rsidRDefault="00F35F9F" w:rsidP="002B5826">
            <w:pPr>
              <w:spacing w:after="160" w:line="259" w:lineRule="auto"/>
              <w:rPr>
                <w:b/>
              </w:rPr>
            </w:pPr>
          </w:p>
        </w:tc>
        <w:tc>
          <w:tcPr>
            <w:tcW w:w="1386" w:type="dxa"/>
          </w:tcPr>
          <w:p w:rsidR="00F35F9F" w:rsidRPr="00F35F9F" w:rsidRDefault="00F35F9F" w:rsidP="002B5826">
            <w:pPr>
              <w:spacing w:after="160" w:line="259" w:lineRule="auto"/>
              <w:rPr>
                <w:b/>
              </w:rPr>
            </w:pPr>
          </w:p>
        </w:tc>
        <w:tc>
          <w:tcPr>
            <w:tcW w:w="1400" w:type="dxa"/>
          </w:tcPr>
          <w:p w:rsidR="00F35F9F" w:rsidRPr="00F35F9F" w:rsidRDefault="00F35F9F" w:rsidP="002B5826">
            <w:pPr>
              <w:spacing w:after="160" w:line="259" w:lineRule="auto"/>
              <w:rPr>
                <w:b/>
              </w:rPr>
            </w:pPr>
          </w:p>
        </w:tc>
        <w:tc>
          <w:tcPr>
            <w:tcW w:w="2577" w:type="dxa"/>
          </w:tcPr>
          <w:p w:rsidR="00F35F9F" w:rsidRPr="00F35F9F" w:rsidRDefault="00F35F9F" w:rsidP="002B5826">
            <w:pPr>
              <w:spacing w:after="160" w:line="259" w:lineRule="auto"/>
              <w:rPr>
                <w:b/>
              </w:rPr>
            </w:pPr>
          </w:p>
        </w:tc>
        <w:tc>
          <w:tcPr>
            <w:tcW w:w="2433" w:type="dxa"/>
          </w:tcPr>
          <w:p w:rsidR="00F35F9F" w:rsidRPr="00F35F9F" w:rsidRDefault="00F35F9F" w:rsidP="002B5826">
            <w:pPr>
              <w:spacing w:after="160" w:line="259" w:lineRule="auto"/>
              <w:rPr>
                <w:b/>
              </w:rPr>
            </w:pPr>
          </w:p>
        </w:tc>
        <w:tc>
          <w:tcPr>
            <w:tcW w:w="2579" w:type="dxa"/>
          </w:tcPr>
          <w:p w:rsidR="00F35F9F" w:rsidRPr="00F35F9F" w:rsidRDefault="00F35F9F" w:rsidP="002B5826">
            <w:pPr>
              <w:spacing w:after="160" w:line="259" w:lineRule="auto"/>
              <w:rPr>
                <w:b/>
              </w:rPr>
            </w:pPr>
          </w:p>
        </w:tc>
        <w:tc>
          <w:tcPr>
            <w:tcW w:w="2434" w:type="dxa"/>
          </w:tcPr>
          <w:p w:rsidR="00F35F9F" w:rsidRPr="00F35F9F" w:rsidRDefault="00F35F9F" w:rsidP="002B5826">
            <w:pPr>
              <w:spacing w:after="160" w:line="259" w:lineRule="auto"/>
              <w:rPr>
                <w:b/>
              </w:rPr>
            </w:pPr>
          </w:p>
        </w:tc>
        <w:tc>
          <w:tcPr>
            <w:tcW w:w="2139" w:type="dxa"/>
          </w:tcPr>
          <w:p w:rsidR="00F35F9F" w:rsidRPr="00F35F9F" w:rsidRDefault="00F35F9F" w:rsidP="002B5826">
            <w:pPr>
              <w:spacing w:after="160" w:line="259" w:lineRule="auto"/>
              <w:rPr>
                <w:b/>
              </w:rPr>
            </w:pPr>
          </w:p>
        </w:tc>
        <w:tc>
          <w:tcPr>
            <w:tcW w:w="1979" w:type="dxa"/>
          </w:tcPr>
          <w:p w:rsidR="00F35F9F" w:rsidRPr="00F35F9F" w:rsidRDefault="00F35F9F" w:rsidP="002B5826">
            <w:pPr>
              <w:spacing w:after="160" w:line="259" w:lineRule="auto"/>
              <w:rPr>
                <w:b/>
              </w:rPr>
            </w:pPr>
          </w:p>
        </w:tc>
      </w:tr>
    </w:tbl>
    <w:p w:rsidR="00F35F9F" w:rsidRPr="00F35F9F" w:rsidRDefault="00F35F9F" w:rsidP="00F35F9F">
      <w:pPr>
        <w:rPr>
          <w:b/>
        </w:rPr>
      </w:pPr>
    </w:p>
    <w:p w:rsidR="00F35F9F" w:rsidRDefault="00F35F9F">
      <w:pPr>
        <w:rPr>
          <w:b/>
        </w:rPr>
      </w:pPr>
      <w:r>
        <w:rPr>
          <w:b/>
        </w:rPr>
        <w:br w:type="page"/>
      </w:r>
    </w:p>
    <w:p w:rsidR="0065531C" w:rsidRPr="00F72B21" w:rsidRDefault="0065531C" w:rsidP="0065531C">
      <w:pPr>
        <w:rPr>
          <w:b/>
        </w:rPr>
      </w:pPr>
      <w:r w:rsidRPr="00F72B21">
        <w:rPr>
          <w:b/>
        </w:rPr>
        <w:lastRenderedPageBreak/>
        <w:t>GOVERNANCE</w:t>
      </w:r>
    </w:p>
    <w:tbl>
      <w:tblPr>
        <w:tblStyle w:val="TableGrid"/>
        <w:tblW w:w="0" w:type="auto"/>
        <w:tblLook w:val="04A0" w:firstRow="1" w:lastRow="0" w:firstColumn="1" w:lastColumn="0" w:noHBand="0" w:noVBand="1"/>
      </w:tblPr>
      <w:tblGrid>
        <w:gridCol w:w="6974"/>
        <w:gridCol w:w="6975"/>
        <w:gridCol w:w="6975"/>
      </w:tblGrid>
      <w:tr w:rsidR="0065531C" w:rsidRPr="00F72B21" w:rsidTr="0065531C">
        <w:tc>
          <w:tcPr>
            <w:tcW w:w="6974" w:type="dxa"/>
          </w:tcPr>
          <w:p w:rsidR="0065531C" w:rsidRPr="00F72B21" w:rsidRDefault="0065531C" w:rsidP="0065531C">
            <w:pPr>
              <w:rPr>
                <w:b/>
              </w:rPr>
            </w:pPr>
            <w:r w:rsidRPr="00F72B21">
              <w:rPr>
                <w:b/>
              </w:rPr>
              <w:t>Potential risk</w:t>
            </w:r>
          </w:p>
        </w:tc>
        <w:tc>
          <w:tcPr>
            <w:tcW w:w="6975" w:type="dxa"/>
          </w:tcPr>
          <w:p w:rsidR="0065531C" w:rsidRPr="00F72B21" w:rsidRDefault="0065531C" w:rsidP="0065531C">
            <w:pPr>
              <w:rPr>
                <w:b/>
              </w:rPr>
            </w:pPr>
            <w:r w:rsidRPr="00F72B21">
              <w:rPr>
                <w:b/>
              </w:rPr>
              <w:t>Potential impact</w:t>
            </w:r>
          </w:p>
        </w:tc>
        <w:tc>
          <w:tcPr>
            <w:tcW w:w="6975" w:type="dxa"/>
          </w:tcPr>
          <w:p w:rsidR="0065531C" w:rsidRPr="00F72B21" w:rsidRDefault="0065531C" w:rsidP="0065531C">
            <w:pPr>
              <w:rPr>
                <w:b/>
              </w:rPr>
            </w:pPr>
            <w:r w:rsidRPr="00F72B21">
              <w:rPr>
                <w:b/>
              </w:rPr>
              <w:t>Steps to mitigate risk</w:t>
            </w:r>
          </w:p>
        </w:tc>
      </w:tr>
      <w:tr w:rsidR="0065531C" w:rsidTr="0065531C">
        <w:tc>
          <w:tcPr>
            <w:tcW w:w="6974" w:type="dxa"/>
          </w:tcPr>
          <w:p w:rsidR="0065531C" w:rsidRDefault="0065531C" w:rsidP="0065531C">
            <w:r>
              <w:t>The charity lacks direction, strategy and forward planning</w:t>
            </w:r>
          </w:p>
        </w:tc>
        <w:tc>
          <w:tcPr>
            <w:tcW w:w="6975" w:type="dxa"/>
          </w:tcPr>
          <w:p w:rsidR="0065531C" w:rsidRDefault="0065531C" w:rsidP="0065531C">
            <w:r>
              <w:t>• the charity drifts with no clear objectives, priorities or plans</w:t>
            </w:r>
          </w:p>
          <w:p w:rsidR="00CB3D0E" w:rsidRDefault="0065531C" w:rsidP="0065531C">
            <w:r>
              <w:t>• issues are addressed piecemeal with no strategic reference</w:t>
            </w:r>
          </w:p>
          <w:p w:rsidR="0065531C" w:rsidRDefault="0065531C" w:rsidP="0065531C">
            <w:r>
              <w:t>•needs of beneficiaries not fully addressed</w:t>
            </w:r>
          </w:p>
          <w:p w:rsidR="0065531C" w:rsidRDefault="0065531C" w:rsidP="0065531C">
            <w:r>
              <w:t>• financial management difficulties</w:t>
            </w:r>
          </w:p>
          <w:p w:rsidR="0065531C" w:rsidRDefault="0065531C" w:rsidP="0065531C">
            <w:r>
              <w:t>• loss of reputation</w:t>
            </w:r>
            <w:r>
              <w:tab/>
            </w:r>
          </w:p>
        </w:tc>
        <w:tc>
          <w:tcPr>
            <w:tcW w:w="6975" w:type="dxa"/>
          </w:tcPr>
          <w:p w:rsidR="0065531C" w:rsidRDefault="0065531C" w:rsidP="0065531C">
            <w:r>
              <w:t>• create a strategic plan which sets out the key aims, objectives and policies</w:t>
            </w:r>
          </w:p>
          <w:p w:rsidR="0065531C" w:rsidRDefault="0065531C" w:rsidP="0065531C">
            <w:r>
              <w:t>• create financial plans and budgets</w:t>
            </w:r>
          </w:p>
          <w:p w:rsidR="0065531C" w:rsidRDefault="0065531C" w:rsidP="0065531C">
            <w:r>
              <w:t>• use job plans and targets</w:t>
            </w:r>
          </w:p>
          <w:p w:rsidR="001D4131" w:rsidRDefault="0065531C" w:rsidP="0065531C">
            <w:r>
              <w:t>• monitor financial and operational performance</w:t>
            </w:r>
          </w:p>
          <w:p w:rsidR="0065531C" w:rsidRDefault="0065531C" w:rsidP="001D4131">
            <w:r>
              <w:t>• get feedback from beneficiaries and funders</w:t>
            </w:r>
          </w:p>
        </w:tc>
      </w:tr>
      <w:tr w:rsidR="0065531C" w:rsidTr="0065531C">
        <w:tc>
          <w:tcPr>
            <w:tcW w:w="6974" w:type="dxa"/>
          </w:tcPr>
          <w:p w:rsidR="0065531C" w:rsidRDefault="0065531C" w:rsidP="0065531C">
            <w:r>
              <w:t>Trustee body lacks relevant skills or commitment</w:t>
            </w:r>
          </w:p>
        </w:tc>
        <w:tc>
          <w:tcPr>
            <w:tcW w:w="6975" w:type="dxa"/>
          </w:tcPr>
          <w:p w:rsidR="0065531C" w:rsidRDefault="0065531C" w:rsidP="0065531C">
            <w:r>
              <w:t>• charity becomes moribund or fails to achieve its purpose</w:t>
            </w:r>
          </w:p>
          <w:p w:rsidR="0065531C" w:rsidRDefault="0065531C" w:rsidP="0065531C">
            <w:r>
              <w:t>•decisions are made bypassing the trustees</w:t>
            </w:r>
          </w:p>
          <w:p w:rsidR="0065531C" w:rsidRDefault="0065531C" w:rsidP="0065531C">
            <w:r>
              <w:t>• resentment or apathy amongst staff</w:t>
            </w:r>
          </w:p>
          <w:p w:rsidR="0065531C" w:rsidRDefault="0065531C" w:rsidP="0065531C">
            <w:r>
              <w:t>• poor decision making reflected in poor value for money on service delivery</w:t>
            </w:r>
            <w:r>
              <w:tab/>
            </w:r>
          </w:p>
        </w:tc>
        <w:tc>
          <w:tcPr>
            <w:tcW w:w="6975" w:type="dxa"/>
          </w:tcPr>
          <w:p w:rsidR="0065531C" w:rsidRDefault="0065531C" w:rsidP="0065531C">
            <w:r>
              <w:t>• review and agree skills required</w:t>
            </w:r>
          </w:p>
          <w:p w:rsidR="0065531C" w:rsidRDefault="0065531C" w:rsidP="0065531C">
            <w:r>
              <w:t>• draw up competence framework and job descriptions</w:t>
            </w:r>
          </w:p>
          <w:p w:rsidR="0065531C" w:rsidRDefault="0065531C" w:rsidP="0065531C">
            <w:r>
              <w:t>•implement trustee training and induction</w:t>
            </w:r>
          </w:p>
          <w:p w:rsidR="0065531C" w:rsidRDefault="0065531C" w:rsidP="0065531C">
            <w:r>
              <w:t>• review and agree recruitment processes</w:t>
            </w:r>
          </w:p>
          <w:p w:rsidR="0065531C" w:rsidRDefault="0065531C" w:rsidP="0065531C"/>
        </w:tc>
      </w:tr>
      <w:tr w:rsidR="0065531C" w:rsidTr="0065531C">
        <w:tc>
          <w:tcPr>
            <w:tcW w:w="6974" w:type="dxa"/>
          </w:tcPr>
          <w:p w:rsidR="0065531C" w:rsidRDefault="0065531C" w:rsidP="0065531C">
            <w:r>
              <w:t>Trustee body dominated by one or two individuals, or by connected individuals</w:t>
            </w:r>
            <w:r>
              <w:tab/>
            </w:r>
          </w:p>
        </w:tc>
        <w:tc>
          <w:tcPr>
            <w:tcW w:w="6975" w:type="dxa"/>
          </w:tcPr>
          <w:p w:rsidR="0065531C" w:rsidRDefault="0065531C" w:rsidP="0065531C">
            <w:r>
              <w:t>• trustee body cannot operate effectively as strategic body</w:t>
            </w:r>
          </w:p>
          <w:p w:rsidR="0065531C" w:rsidRDefault="0065531C" w:rsidP="0065531C">
            <w:r>
              <w:t>• decisions made outside of trustee body</w:t>
            </w:r>
          </w:p>
          <w:p w:rsidR="0065531C" w:rsidRDefault="0065531C" w:rsidP="0065531C">
            <w:r>
              <w:t>• conflicts of interest</w:t>
            </w:r>
          </w:p>
          <w:p w:rsidR="0065531C" w:rsidRDefault="0065531C" w:rsidP="0065531C">
            <w:r>
              <w:t>• pursuit of personal agenda</w:t>
            </w:r>
          </w:p>
          <w:p w:rsidR="0065531C" w:rsidRDefault="0065531C" w:rsidP="0065531C">
            <w:r>
              <w:t>• culture of secrecy or deference</w:t>
            </w:r>
          </w:p>
          <w:p w:rsidR="0065531C" w:rsidRDefault="0065531C" w:rsidP="001D4131">
            <w:r>
              <w:t>• arbitrary over-riding of control mechanisms</w:t>
            </w:r>
            <w:r>
              <w:tab/>
            </w:r>
          </w:p>
        </w:tc>
        <w:tc>
          <w:tcPr>
            <w:tcW w:w="6975" w:type="dxa"/>
          </w:tcPr>
          <w:p w:rsidR="0065531C" w:rsidRDefault="0065531C" w:rsidP="0065531C">
            <w:r>
              <w:t>• consider the structure of the trustee body and its independence</w:t>
            </w:r>
          </w:p>
          <w:p w:rsidR="0065531C" w:rsidRDefault="0065531C" w:rsidP="0065531C">
            <w:r>
              <w:t>• agree mechanisms to manage potential conflicts of interest</w:t>
            </w:r>
          </w:p>
          <w:p w:rsidR="0065531C" w:rsidRDefault="0065531C" w:rsidP="0065531C">
            <w:r>
              <w:t>• review and agree recruitment and appointment processes in line with governing document</w:t>
            </w:r>
          </w:p>
          <w:p w:rsidR="0065531C" w:rsidRDefault="0065531C" w:rsidP="001D4131">
            <w:r>
              <w:t>• agree procedural framework for meetings and recording decisions</w:t>
            </w:r>
          </w:p>
        </w:tc>
      </w:tr>
      <w:tr w:rsidR="0065531C" w:rsidTr="0065531C">
        <w:tc>
          <w:tcPr>
            <w:tcW w:w="6974" w:type="dxa"/>
          </w:tcPr>
          <w:p w:rsidR="0065531C" w:rsidRDefault="0065531C" w:rsidP="0065531C">
            <w:r>
              <w:t>Trustees are benefiting from charity (</w:t>
            </w:r>
            <w:proofErr w:type="spellStart"/>
            <w:r>
              <w:t>eg</w:t>
            </w:r>
            <w:proofErr w:type="spellEnd"/>
            <w:r>
              <w:t xml:space="preserve"> remuneration)</w:t>
            </w:r>
            <w:r>
              <w:tab/>
            </w:r>
          </w:p>
          <w:p w:rsidR="0065531C" w:rsidRDefault="0065531C" w:rsidP="0065531C"/>
        </w:tc>
        <w:tc>
          <w:tcPr>
            <w:tcW w:w="6975" w:type="dxa"/>
          </w:tcPr>
          <w:p w:rsidR="0065531C" w:rsidRDefault="0065531C" w:rsidP="0065531C">
            <w:r>
              <w:t>• poor reputation, morale and ethos</w:t>
            </w:r>
          </w:p>
          <w:p w:rsidR="0065531C" w:rsidRDefault="0065531C" w:rsidP="0065531C">
            <w:r>
              <w:t>• adverse impact on overall control environment</w:t>
            </w:r>
          </w:p>
          <w:p w:rsidR="0065531C" w:rsidRDefault="0065531C" w:rsidP="0065531C">
            <w:r>
              <w:t>• conflicts of interest</w:t>
            </w:r>
          </w:p>
          <w:p w:rsidR="0065531C" w:rsidRDefault="0065531C" w:rsidP="0065531C">
            <w:r>
              <w:t>• possibility of regulatory action</w:t>
            </w:r>
            <w:r>
              <w:tab/>
            </w:r>
          </w:p>
          <w:p w:rsidR="0065531C" w:rsidRDefault="0065531C" w:rsidP="0065531C"/>
        </w:tc>
        <w:tc>
          <w:tcPr>
            <w:tcW w:w="6975" w:type="dxa"/>
          </w:tcPr>
          <w:p w:rsidR="0065531C" w:rsidRDefault="0065531C" w:rsidP="0065531C">
            <w:r>
              <w:t>• ensure legal authority for payment or benefit</w:t>
            </w:r>
          </w:p>
          <w:p w:rsidR="0065531C" w:rsidRDefault="0065531C" w:rsidP="0065531C">
            <w:r>
              <w:t>• consider alternative staffing arrangements</w:t>
            </w:r>
          </w:p>
          <w:p w:rsidR="0065531C" w:rsidRDefault="0065531C" w:rsidP="0065531C">
            <w:r>
              <w:t>• implement terms and procedures to authorise/approve expenses and payments</w:t>
            </w:r>
          </w:p>
          <w:p w:rsidR="0065531C" w:rsidRDefault="0065531C" w:rsidP="001D4131">
            <w:r>
              <w:t xml:space="preserve">• agree procedures and methods to establish fair remuneration conducted separately from ‘interested’ trustee (remuneration committee/benchmarking exercise </w:t>
            </w:r>
            <w:proofErr w:type="spellStart"/>
            <w:r>
              <w:t>etc</w:t>
            </w:r>
            <w:proofErr w:type="spellEnd"/>
            <w:r>
              <w:t>)</w:t>
            </w:r>
          </w:p>
        </w:tc>
      </w:tr>
      <w:tr w:rsidR="0065531C" w:rsidTr="0065531C">
        <w:tc>
          <w:tcPr>
            <w:tcW w:w="6974" w:type="dxa"/>
          </w:tcPr>
          <w:p w:rsidR="0065531C" w:rsidRDefault="0065531C" w:rsidP="0065531C">
            <w:r>
              <w:t>Conflicts of interest</w:t>
            </w:r>
            <w:r>
              <w:tab/>
            </w:r>
          </w:p>
          <w:p w:rsidR="0065531C" w:rsidRDefault="0065531C" w:rsidP="0065531C"/>
        </w:tc>
        <w:tc>
          <w:tcPr>
            <w:tcW w:w="6975" w:type="dxa"/>
          </w:tcPr>
          <w:p w:rsidR="0065531C" w:rsidRDefault="0065531C" w:rsidP="0065531C">
            <w:r>
              <w:t>• charity unable to pursue its own interests and agenda</w:t>
            </w:r>
          </w:p>
          <w:p w:rsidR="0065531C" w:rsidRDefault="0065531C" w:rsidP="0065531C">
            <w:r>
              <w:t>• decisions may not be based on relevant considerations</w:t>
            </w:r>
          </w:p>
          <w:p w:rsidR="0065531C" w:rsidRDefault="0065531C" w:rsidP="0065531C">
            <w:r>
              <w:t>• impact on reputation</w:t>
            </w:r>
          </w:p>
          <w:p w:rsidR="0065531C" w:rsidRDefault="0065531C" w:rsidP="0065531C">
            <w:r>
              <w:t>• private benefit</w:t>
            </w:r>
          </w:p>
        </w:tc>
        <w:tc>
          <w:tcPr>
            <w:tcW w:w="6975" w:type="dxa"/>
          </w:tcPr>
          <w:p w:rsidR="0065531C" w:rsidRDefault="0065531C" w:rsidP="0065531C">
            <w:r>
              <w:t>• agree protocol for disclosure of potential conflicts of interest</w:t>
            </w:r>
          </w:p>
          <w:p w:rsidR="0065531C" w:rsidRDefault="0065531C" w:rsidP="0065531C">
            <w:r>
              <w:t>• put in place procedures for standing down on certain decisions</w:t>
            </w:r>
          </w:p>
          <w:p w:rsidR="0065531C" w:rsidRDefault="0065531C" w:rsidP="001D4131">
            <w:r>
              <w:t>• review recruitment and selection processes</w:t>
            </w:r>
          </w:p>
        </w:tc>
      </w:tr>
      <w:tr w:rsidR="0065531C" w:rsidTr="0065531C">
        <w:tc>
          <w:tcPr>
            <w:tcW w:w="6974" w:type="dxa"/>
          </w:tcPr>
          <w:p w:rsidR="0065531C" w:rsidRDefault="0065531C" w:rsidP="0065531C">
            <w:r>
              <w:t>Ineffective organisational structure</w:t>
            </w:r>
            <w:r>
              <w:tab/>
            </w:r>
          </w:p>
        </w:tc>
        <w:tc>
          <w:tcPr>
            <w:tcW w:w="6975" w:type="dxa"/>
          </w:tcPr>
          <w:p w:rsidR="0065531C" w:rsidRDefault="0065531C" w:rsidP="0065531C">
            <w:r>
              <w:t>• lack of information flow and poor decision making procedures</w:t>
            </w:r>
          </w:p>
          <w:p w:rsidR="0065531C" w:rsidRDefault="0065531C" w:rsidP="0065531C">
            <w:r>
              <w:t>• remoteness from operational activities</w:t>
            </w:r>
          </w:p>
          <w:p w:rsidR="0065531C" w:rsidRDefault="0065531C" w:rsidP="0065531C">
            <w:r>
              <w:t>• uncertainty as to roles and duties</w:t>
            </w:r>
          </w:p>
          <w:p w:rsidR="0065531C" w:rsidRDefault="0065531C" w:rsidP="0065531C">
            <w:r>
              <w:t>• decisions made at inappropriate level or excessive bureaucracy</w:t>
            </w:r>
          </w:p>
        </w:tc>
        <w:tc>
          <w:tcPr>
            <w:tcW w:w="6975" w:type="dxa"/>
          </w:tcPr>
          <w:p w:rsidR="0065531C" w:rsidRDefault="0065531C" w:rsidP="0065531C">
            <w:r>
              <w:t>• use organisation chart to create a clear understanding of roles and duties</w:t>
            </w:r>
          </w:p>
          <w:p w:rsidR="0065531C" w:rsidRDefault="0065531C" w:rsidP="0065531C">
            <w:r>
              <w:t>• delegation and monitoring should be consistent with good practice and constitutional or legal requirements</w:t>
            </w:r>
          </w:p>
          <w:p w:rsidR="0065531C" w:rsidRDefault="0065531C" w:rsidP="001D4131">
            <w:r>
              <w:t>• review structure and the need for constitutional change</w:t>
            </w:r>
          </w:p>
        </w:tc>
      </w:tr>
      <w:tr w:rsidR="0065531C" w:rsidTr="0065531C">
        <w:tc>
          <w:tcPr>
            <w:tcW w:w="6974" w:type="dxa"/>
          </w:tcPr>
          <w:p w:rsidR="001D4131" w:rsidRDefault="001D4131" w:rsidP="001D4131">
            <w:r>
              <w:t>Activities potentially outside objects, powers or terms of gift (restricted funds)</w:t>
            </w:r>
            <w:r>
              <w:tab/>
            </w:r>
          </w:p>
          <w:p w:rsidR="0065531C" w:rsidRDefault="0065531C" w:rsidP="0065531C"/>
        </w:tc>
        <w:tc>
          <w:tcPr>
            <w:tcW w:w="6975" w:type="dxa"/>
          </w:tcPr>
          <w:p w:rsidR="001D4131" w:rsidRDefault="001D4131" w:rsidP="001D4131">
            <w:r>
              <w:t>• loss of funds available for beneficiary class</w:t>
            </w:r>
          </w:p>
          <w:p w:rsidR="001D4131" w:rsidRDefault="001D4131" w:rsidP="001D4131">
            <w:r>
              <w:t>• liabilities to repay funders</w:t>
            </w:r>
          </w:p>
          <w:p w:rsidR="001D4131" w:rsidRDefault="001D4131" w:rsidP="001D4131">
            <w:r>
              <w:t>• loss of funder confidence</w:t>
            </w:r>
          </w:p>
          <w:p w:rsidR="001D4131" w:rsidRDefault="001D4131" w:rsidP="001D4131">
            <w:r>
              <w:t>• potential breach of trust and regulatory action</w:t>
            </w:r>
          </w:p>
          <w:p w:rsidR="001D4131" w:rsidRDefault="001D4131" w:rsidP="001D4131">
            <w:r>
              <w:t>• loss of beneficiary confidence</w:t>
            </w:r>
          </w:p>
          <w:p w:rsidR="0065531C" w:rsidRDefault="001D4131" w:rsidP="001D4131">
            <w:r>
              <w:t>• taxation implications (if non-qualifying expenditure)</w:t>
            </w:r>
          </w:p>
        </w:tc>
        <w:tc>
          <w:tcPr>
            <w:tcW w:w="6975" w:type="dxa"/>
          </w:tcPr>
          <w:p w:rsidR="001D4131" w:rsidRDefault="001D4131" w:rsidP="001D4131">
            <w:r>
              <w:t>• agree protocol for reviewing new projects to ensure consistency with objects, powers and terms of funding</w:t>
            </w:r>
          </w:p>
          <w:p w:rsidR="001D4131" w:rsidRDefault="001D4131" w:rsidP="001D4131">
            <w:r>
              <w:t>• create financial systems to identify restricted funds and their application</w:t>
            </w:r>
          </w:p>
          <w:p w:rsidR="0065531C" w:rsidRDefault="0065531C" w:rsidP="0065531C"/>
        </w:tc>
      </w:tr>
      <w:tr w:rsidR="001D4131" w:rsidTr="0065531C">
        <w:tc>
          <w:tcPr>
            <w:tcW w:w="6974" w:type="dxa"/>
          </w:tcPr>
          <w:p w:rsidR="001D4131" w:rsidRDefault="001D4131" w:rsidP="001D4131">
            <w:r>
              <w:t>Loss of key staff</w:t>
            </w:r>
          </w:p>
        </w:tc>
        <w:tc>
          <w:tcPr>
            <w:tcW w:w="6975" w:type="dxa"/>
          </w:tcPr>
          <w:p w:rsidR="001D4131" w:rsidRDefault="001D4131" w:rsidP="001D4131">
            <w:r>
              <w:t>• experience or skills lost</w:t>
            </w:r>
          </w:p>
          <w:p w:rsidR="001D4131" w:rsidRDefault="001D4131" w:rsidP="001D4131">
            <w:r>
              <w:t>• operational impact on key projects and priorities</w:t>
            </w:r>
          </w:p>
          <w:p w:rsidR="001D4131" w:rsidRDefault="001D4131" w:rsidP="001D4131">
            <w:r>
              <w:t>• loss of contact base and corporate knowledge</w:t>
            </w:r>
            <w:r>
              <w:tab/>
            </w:r>
          </w:p>
        </w:tc>
        <w:tc>
          <w:tcPr>
            <w:tcW w:w="6975" w:type="dxa"/>
          </w:tcPr>
          <w:p w:rsidR="001D4131" w:rsidRDefault="001D4131" w:rsidP="001D4131">
            <w:r>
              <w:t>• succession planning</w:t>
            </w:r>
          </w:p>
          <w:p w:rsidR="001D4131" w:rsidRDefault="001D4131" w:rsidP="001D4131">
            <w:r>
              <w:t>• document systems, plans and projects</w:t>
            </w:r>
          </w:p>
          <w:p w:rsidR="001D4131" w:rsidRDefault="001D4131" w:rsidP="001D4131">
            <w:r>
              <w:t>• implement training programmes</w:t>
            </w:r>
          </w:p>
          <w:p w:rsidR="001D4131" w:rsidRDefault="001D4131" w:rsidP="001D4131">
            <w:r>
              <w:t>• agree notice periods and handovers</w:t>
            </w:r>
          </w:p>
          <w:p w:rsidR="001D4131" w:rsidRDefault="001D4131" w:rsidP="001D4131">
            <w:r>
              <w:t>• review and agree recruitment processes</w:t>
            </w:r>
          </w:p>
          <w:p w:rsidR="001D4131" w:rsidRDefault="001D4131" w:rsidP="001D4131"/>
        </w:tc>
      </w:tr>
      <w:tr w:rsidR="001D4131" w:rsidTr="0065531C">
        <w:tc>
          <w:tcPr>
            <w:tcW w:w="6974" w:type="dxa"/>
          </w:tcPr>
          <w:p w:rsidR="001D4131" w:rsidRDefault="001D4131" w:rsidP="001D4131">
            <w:r>
              <w:t>Reporting to trustees (accuracy, timeliness and relevance)</w:t>
            </w:r>
            <w:r>
              <w:tab/>
            </w:r>
          </w:p>
          <w:p w:rsidR="001D4131" w:rsidRDefault="001D4131" w:rsidP="001D4131"/>
        </w:tc>
        <w:tc>
          <w:tcPr>
            <w:tcW w:w="6975" w:type="dxa"/>
          </w:tcPr>
          <w:p w:rsidR="001D4131" w:rsidRDefault="001D4131" w:rsidP="001D4131">
            <w:r>
              <w:t>• inadequate information resulting in poor quality decision making</w:t>
            </w:r>
          </w:p>
          <w:p w:rsidR="001D4131" w:rsidRDefault="001D4131" w:rsidP="001D4131">
            <w:r>
              <w:t>• failure of trustees to fulfil their control functions</w:t>
            </w:r>
          </w:p>
          <w:p w:rsidR="001D4131" w:rsidRDefault="001D4131" w:rsidP="001D4131">
            <w:r>
              <w:t>• trustee body becomes remote and ill informed</w:t>
            </w:r>
            <w:r>
              <w:tab/>
            </w:r>
          </w:p>
          <w:p w:rsidR="001D4131" w:rsidRDefault="001D4131" w:rsidP="001D4131"/>
        </w:tc>
        <w:tc>
          <w:tcPr>
            <w:tcW w:w="6975" w:type="dxa"/>
          </w:tcPr>
          <w:p w:rsidR="001D4131" w:rsidRDefault="001D4131" w:rsidP="001D4131">
            <w:r>
              <w:t>• put in place proper strategic planning, objective setting and budgeting processes</w:t>
            </w:r>
          </w:p>
          <w:p w:rsidR="001D4131" w:rsidRDefault="001D4131" w:rsidP="001D4131">
            <w:r>
              <w:t>• timely and accurate project reporting</w:t>
            </w:r>
          </w:p>
          <w:p w:rsidR="001D4131" w:rsidRDefault="001D4131" w:rsidP="001D4131">
            <w:r>
              <w:t>• timely and accurate financial reporting</w:t>
            </w:r>
          </w:p>
          <w:p w:rsidR="001D4131" w:rsidRDefault="001D4131" w:rsidP="001D4131">
            <w:r>
              <w:t>• assess and review projects and authorisation procedures</w:t>
            </w:r>
          </w:p>
          <w:p w:rsidR="001D4131" w:rsidRDefault="001D4131" w:rsidP="001D4131">
            <w:r>
              <w:t>• have regular contact between trustees and senior staff and managers</w:t>
            </w:r>
          </w:p>
          <w:p w:rsidR="001D4131" w:rsidRDefault="001D4131" w:rsidP="001D4131"/>
        </w:tc>
      </w:tr>
    </w:tbl>
    <w:p w:rsidR="0065531C" w:rsidRDefault="0065531C" w:rsidP="0065531C"/>
    <w:p w:rsidR="001D4131" w:rsidRPr="00F72B21" w:rsidRDefault="00F72B21" w:rsidP="001D4131">
      <w:pPr>
        <w:rPr>
          <w:b/>
        </w:rPr>
      </w:pPr>
      <w:r>
        <w:br w:type="page"/>
      </w:r>
      <w:r w:rsidR="001D4131" w:rsidRPr="00F72B21">
        <w:rPr>
          <w:b/>
        </w:rPr>
        <w:lastRenderedPageBreak/>
        <w:t>OPERATIONAL</w:t>
      </w:r>
    </w:p>
    <w:tbl>
      <w:tblPr>
        <w:tblStyle w:val="TableGrid"/>
        <w:tblW w:w="0" w:type="auto"/>
        <w:tblLook w:val="04A0" w:firstRow="1" w:lastRow="0" w:firstColumn="1" w:lastColumn="0" w:noHBand="0" w:noVBand="1"/>
      </w:tblPr>
      <w:tblGrid>
        <w:gridCol w:w="6974"/>
        <w:gridCol w:w="6975"/>
        <w:gridCol w:w="6975"/>
      </w:tblGrid>
      <w:tr w:rsidR="001D4131" w:rsidRPr="00F72B21" w:rsidTr="001D4131">
        <w:tc>
          <w:tcPr>
            <w:tcW w:w="6974" w:type="dxa"/>
          </w:tcPr>
          <w:p w:rsidR="001D4131" w:rsidRPr="00F72B21" w:rsidRDefault="001D4131" w:rsidP="0065531C">
            <w:pPr>
              <w:rPr>
                <w:b/>
              </w:rPr>
            </w:pPr>
            <w:r w:rsidRPr="00F72B21">
              <w:rPr>
                <w:b/>
              </w:rPr>
              <w:t>Potential risk</w:t>
            </w:r>
          </w:p>
        </w:tc>
        <w:tc>
          <w:tcPr>
            <w:tcW w:w="6975" w:type="dxa"/>
          </w:tcPr>
          <w:p w:rsidR="001D4131" w:rsidRPr="00F72B21" w:rsidRDefault="001D4131" w:rsidP="0065531C">
            <w:pPr>
              <w:rPr>
                <w:b/>
              </w:rPr>
            </w:pPr>
            <w:r w:rsidRPr="00F72B21">
              <w:rPr>
                <w:b/>
              </w:rPr>
              <w:t>Potential impact</w:t>
            </w:r>
          </w:p>
        </w:tc>
        <w:tc>
          <w:tcPr>
            <w:tcW w:w="6975" w:type="dxa"/>
          </w:tcPr>
          <w:p w:rsidR="001D4131" w:rsidRPr="00F72B21" w:rsidRDefault="001D4131" w:rsidP="0065531C">
            <w:pPr>
              <w:rPr>
                <w:b/>
              </w:rPr>
            </w:pPr>
            <w:r w:rsidRPr="00F72B21">
              <w:rPr>
                <w:b/>
              </w:rPr>
              <w:t>Steps to mitigate risk</w:t>
            </w:r>
          </w:p>
        </w:tc>
      </w:tr>
      <w:tr w:rsidR="001D4131" w:rsidTr="001D4131">
        <w:tc>
          <w:tcPr>
            <w:tcW w:w="6974" w:type="dxa"/>
          </w:tcPr>
          <w:p w:rsidR="001D4131" w:rsidRDefault="001D4131" w:rsidP="0065531C">
            <w:r>
              <w:t>Contract risk</w:t>
            </w:r>
          </w:p>
        </w:tc>
        <w:tc>
          <w:tcPr>
            <w:tcW w:w="6975" w:type="dxa"/>
          </w:tcPr>
          <w:p w:rsidR="001D4131" w:rsidRDefault="001D4131" w:rsidP="001D4131">
            <w:r>
              <w:t>• onerous terms and conditions</w:t>
            </w:r>
          </w:p>
          <w:p w:rsidR="001D4131" w:rsidRDefault="00CB3D0E" w:rsidP="001D4131">
            <w:r>
              <w:t>• liabilities for non-</w:t>
            </w:r>
            <w:r w:rsidR="001D4131">
              <w:t>performance</w:t>
            </w:r>
          </w:p>
          <w:p w:rsidR="001D4131" w:rsidRDefault="001D4131" w:rsidP="001D4131">
            <w:r>
              <w:t>• non-compliance with charity’s objects</w:t>
            </w:r>
          </w:p>
          <w:p w:rsidR="001D4131" w:rsidRDefault="001D4131" w:rsidP="001D4131">
            <w:r>
              <w:t>• unplanned subsidy of public provision</w:t>
            </w:r>
            <w:r>
              <w:tab/>
            </w:r>
          </w:p>
        </w:tc>
        <w:tc>
          <w:tcPr>
            <w:tcW w:w="6975" w:type="dxa"/>
          </w:tcPr>
          <w:p w:rsidR="001D4131" w:rsidRDefault="001D4131" w:rsidP="001D4131">
            <w:r>
              <w:t>• create cost/project appraisal procedures</w:t>
            </w:r>
          </w:p>
          <w:p w:rsidR="001D4131" w:rsidRDefault="001D4131" w:rsidP="001D4131">
            <w:r>
              <w:t>• agree authorisation procedures</w:t>
            </w:r>
          </w:p>
          <w:p w:rsidR="001D4131" w:rsidRDefault="001D4131" w:rsidP="001D4131">
            <w:r>
              <w:t>• get professional advice on terms and conditions</w:t>
            </w:r>
          </w:p>
          <w:p w:rsidR="001D4131" w:rsidRDefault="001D4131" w:rsidP="001D4131">
            <w:r>
              <w:t>• put in place performance monitoring arrangements</w:t>
            </w:r>
          </w:p>
          <w:p w:rsidR="001D4131" w:rsidRDefault="001D4131" w:rsidP="001D4131">
            <w:r>
              <w:t>• consider insurable risks cover</w:t>
            </w:r>
          </w:p>
        </w:tc>
      </w:tr>
      <w:tr w:rsidR="001D4131" w:rsidTr="001D4131">
        <w:tc>
          <w:tcPr>
            <w:tcW w:w="6974" w:type="dxa"/>
          </w:tcPr>
          <w:p w:rsidR="001D4131" w:rsidRDefault="001D4131" w:rsidP="0065531C">
            <w:r>
              <w:t>Service provision - customer satisfaction</w:t>
            </w:r>
            <w:r>
              <w:tab/>
            </w:r>
          </w:p>
        </w:tc>
        <w:tc>
          <w:tcPr>
            <w:tcW w:w="6975" w:type="dxa"/>
          </w:tcPr>
          <w:p w:rsidR="001D4131" w:rsidRDefault="001D4131" w:rsidP="001D4131">
            <w:r>
              <w:t>• beneficiary complaints</w:t>
            </w:r>
          </w:p>
          <w:p w:rsidR="001D4131" w:rsidRDefault="001D4131" w:rsidP="001D4131">
            <w:r>
              <w:t>• loss of fee income</w:t>
            </w:r>
          </w:p>
          <w:p w:rsidR="001D4131" w:rsidRDefault="001D4131" w:rsidP="001D4131">
            <w:r>
              <w:t>• loss of significant contracts or claims under contract</w:t>
            </w:r>
          </w:p>
          <w:p w:rsidR="001D4131" w:rsidRDefault="001D4131" w:rsidP="001D4131">
            <w:r>
              <w:t>• negligence claims</w:t>
            </w:r>
          </w:p>
          <w:p w:rsidR="001D4131" w:rsidRDefault="001D4131" w:rsidP="001D4131">
            <w:r>
              <w:t>• reputational risks</w:t>
            </w:r>
          </w:p>
        </w:tc>
        <w:tc>
          <w:tcPr>
            <w:tcW w:w="6975" w:type="dxa"/>
          </w:tcPr>
          <w:p w:rsidR="001D4131" w:rsidRDefault="001D4131" w:rsidP="001D4131">
            <w:r>
              <w:t>• agree quality control procedures</w:t>
            </w:r>
          </w:p>
          <w:p w:rsidR="001D4131" w:rsidRDefault="001D4131" w:rsidP="001D4131">
            <w:r>
              <w:t>• implement complaints procedures</w:t>
            </w:r>
          </w:p>
          <w:p w:rsidR="001D4131" w:rsidRDefault="001D4131" w:rsidP="001D4131">
            <w:r>
              <w:t>• benchmark services and implement complaints review procedures</w:t>
            </w:r>
          </w:p>
        </w:tc>
      </w:tr>
      <w:tr w:rsidR="001D4131" w:rsidTr="001D4131">
        <w:tc>
          <w:tcPr>
            <w:tcW w:w="6974" w:type="dxa"/>
          </w:tcPr>
          <w:p w:rsidR="001D4131" w:rsidRDefault="001D4131" w:rsidP="0065531C">
            <w:r>
              <w:t>Project or service development</w:t>
            </w:r>
            <w:r>
              <w:tab/>
            </w:r>
          </w:p>
        </w:tc>
        <w:tc>
          <w:tcPr>
            <w:tcW w:w="6975" w:type="dxa"/>
          </w:tcPr>
          <w:p w:rsidR="001D4131" w:rsidRDefault="001D4131" w:rsidP="001D4131">
            <w:r>
              <w:t>• compatibility with objects, plans and priorities</w:t>
            </w:r>
          </w:p>
          <w:p w:rsidR="001D4131" w:rsidRDefault="001D4131" w:rsidP="001D4131">
            <w:r>
              <w:t>• funding and financial viability</w:t>
            </w:r>
          </w:p>
          <w:p w:rsidR="001D4131" w:rsidRDefault="001D4131" w:rsidP="001D4131">
            <w:r>
              <w:t>• project viability</w:t>
            </w:r>
          </w:p>
          <w:p w:rsidR="001D4131" w:rsidRDefault="001D4131" w:rsidP="001D4131">
            <w:r>
              <w:t>• skills availability</w:t>
            </w:r>
            <w:r>
              <w:tab/>
            </w:r>
          </w:p>
        </w:tc>
        <w:tc>
          <w:tcPr>
            <w:tcW w:w="6975" w:type="dxa"/>
          </w:tcPr>
          <w:p w:rsidR="001D4131" w:rsidRDefault="001D4131" w:rsidP="001D4131">
            <w:r>
              <w:t>• appraise project, budgeting and costing procedures</w:t>
            </w:r>
          </w:p>
          <w:p w:rsidR="001D4131" w:rsidRDefault="001D4131" w:rsidP="001D4131">
            <w:r>
              <w:t>• review authorisation procedures</w:t>
            </w:r>
          </w:p>
          <w:p w:rsidR="001D4131" w:rsidRDefault="001D4131" w:rsidP="001D4131">
            <w:r>
              <w:t>• review monitoring and reporting procedures</w:t>
            </w:r>
          </w:p>
        </w:tc>
      </w:tr>
      <w:tr w:rsidR="001D4131" w:rsidTr="001D4131">
        <w:tc>
          <w:tcPr>
            <w:tcW w:w="6974" w:type="dxa"/>
          </w:tcPr>
          <w:p w:rsidR="001D4131" w:rsidRDefault="001D4131" w:rsidP="0065531C">
            <w:r>
              <w:t>Competition from similar organisations</w:t>
            </w:r>
            <w:r>
              <w:tab/>
            </w:r>
          </w:p>
        </w:tc>
        <w:tc>
          <w:tcPr>
            <w:tcW w:w="6975" w:type="dxa"/>
          </w:tcPr>
          <w:p w:rsidR="001D4131" w:rsidRDefault="001D4131" w:rsidP="001D4131">
            <w:r>
              <w:t>• loss of contract income</w:t>
            </w:r>
          </w:p>
          <w:p w:rsidR="001D4131" w:rsidRDefault="001D4131" w:rsidP="001D4131">
            <w:r>
              <w:t>• reduced fund-raising potential</w:t>
            </w:r>
          </w:p>
          <w:p w:rsidR="001D4131" w:rsidRDefault="001D4131" w:rsidP="001D4131">
            <w:r>
              <w:t>• reduced public profile</w:t>
            </w:r>
          </w:p>
          <w:p w:rsidR="001D4131" w:rsidRDefault="001D4131" w:rsidP="001D4131">
            <w:r>
              <w:t>• profitability of trading activities</w:t>
            </w:r>
          </w:p>
        </w:tc>
        <w:tc>
          <w:tcPr>
            <w:tcW w:w="6975" w:type="dxa"/>
          </w:tcPr>
          <w:p w:rsidR="001D4131" w:rsidRDefault="001D4131" w:rsidP="001D4131">
            <w:r>
              <w:t>• monitor and assess performance and quality of service</w:t>
            </w:r>
          </w:p>
          <w:p w:rsidR="001D4131" w:rsidRDefault="001D4131" w:rsidP="001D4131">
            <w:r>
              <w:t>• review market and methods of service delivery</w:t>
            </w:r>
          </w:p>
          <w:p w:rsidR="001D4131" w:rsidRDefault="001D4131" w:rsidP="001D4131">
            <w:r>
              <w:t>• agree fund-raising strategy</w:t>
            </w:r>
          </w:p>
          <w:p w:rsidR="001D4131" w:rsidRDefault="001D4131" w:rsidP="001D4131">
            <w:r>
              <w:t>• ensure regular contact with funders</w:t>
            </w:r>
          </w:p>
          <w:p w:rsidR="001D4131" w:rsidRDefault="001D4131" w:rsidP="001D4131">
            <w:r>
              <w:t>• monitor public awareness and profile of charity</w:t>
            </w:r>
          </w:p>
        </w:tc>
      </w:tr>
      <w:tr w:rsidR="001D4131" w:rsidTr="001D4131">
        <w:tc>
          <w:tcPr>
            <w:tcW w:w="6974" w:type="dxa"/>
          </w:tcPr>
          <w:p w:rsidR="001D4131" w:rsidRDefault="001D4131" w:rsidP="0065531C">
            <w:r>
              <w:t>Suppliers, dependency, bargaining power</w:t>
            </w:r>
          </w:p>
        </w:tc>
        <w:tc>
          <w:tcPr>
            <w:tcW w:w="6975" w:type="dxa"/>
          </w:tcPr>
          <w:p w:rsidR="001D4131" w:rsidRDefault="001D4131" w:rsidP="001D4131">
            <w:r>
              <w:t>• dependency on key supplier</w:t>
            </w:r>
          </w:p>
          <w:p w:rsidR="001D4131" w:rsidRDefault="001D4131" w:rsidP="001D4131">
            <w:r>
              <w:t>• lack of supplier to meet key operational objectives</w:t>
            </w:r>
          </w:p>
          <w:p w:rsidR="001D4131" w:rsidRDefault="001D4131" w:rsidP="001D4131">
            <w:r>
              <w:t>• non-competitive pricing/quotes</w:t>
            </w:r>
          </w:p>
          <w:p w:rsidR="001D4131" w:rsidRDefault="001D4131" w:rsidP="001D4131">
            <w:r>
              <w:t>• insufficient buying power</w:t>
            </w:r>
          </w:p>
        </w:tc>
        <w:tc>
          <w:tcPr>
            <w:tcW w:w="6975" w:type="dxa"/>
          </w:tcPr>
          <w:p w:rsidR="001D4131" w:rsidRDefault="001D4131" w:rsidP="001D4131">
            <w:r>
              <w:t>• use competitive tendering for larger contracts</w:t>
            </w:r>
          </w:p>
          <w:p w:rsidR="001D4131" w:rsidRDefault="001D4131" w:rsidP="001D4131">
            <w:r>
              <w:t>• put in place procedures for obtaining quotations</w:t>
            </w:r>
          </w:p>
          <w:p w:rsidR="001D4131" w:rsidRDefault="001D4131" w:rsidP="001D4131">
            <w:r>
              <w:t>• authorised suppliers listing</w:t>
            </w:r>
          </w:p>
          <w:p w:rsidR="001D4131" w:rsidRDefault="001D4131" w:rsidP="001D4131">
            <w:r>
              <w:t>• monitor quality/timeliness of provision</w:t>
            </w:r>
          </w:p>
          <w:p w:rsidR="001D4131" w:rsidRDefault="001D4131" w:rsidP="001D4131">
            <w:r>
              <w:t>• use service level agreements</w:t>
            </w:r>
          </w:p>
          <w:p w:rsidR="001D4131" w:rsidRDefault="001D4131" w:rsidP="001D4131">
            <w:r>
              <w:t>• consider use of buying consortia</w:t>
            </w:r>
          </w:p>
        </w:tc>
      </w:tr>
      <w:tr w:rsidR="001D4131" w:rsidTr="001D4131">
        <w:tc>
          <w:tcPr>
            <w:tcW w:w="6974" w:type="dxa"/>
          </w:tcPr>
          <w:p w:rsidR="001D4131" w:rsidRDefault="001D4131" w:rsidP="0065531C">
            <w:r>
              <w:t>Capacity and use of resources including tangible fixed assets</w:t>
            </w:r>
          </w:p>
        </w:tc>
        <w:tc>
          <w:tcPr>
            <w:tcW w:w="6975" w:type="dxa"/>
          </w:tcPr>
          <w:p w:rsidR="001D4131" w:rsidRDefault="001D4131" w:rsidP="001D4131">
            <w:r>
              <w:t>• under-utilised or lack of building/office space</w:t>
            </w:r>
          </w:p>
          <w:p w:rsidR="001D4131" w:rsidRDefault="001D4131" w:rsidP="001D4131">
            <w:r>
              <w:t>• plant and equipment obsolescence impacting on operational performance</w:t>
            </w:r>
          </w:p>
          <w:p w:rsidR="001D4131" w:rsidRDefault="001D4131" w:rsidP="001D4131">
            <w:r>
              <w:t>• mismatch between staff allocations and key objectives</w:t>
            </w:r>
          </w:p>
          <w:p w:rsidR="001D4131" w:rsidRDefault="001D4131" w:rsidP="001D4131">
            <w:r>
              <w:t>• spare capacity not being utilised or turned to account</w:t>
            </w:r>
            <w:r>
              <w:tab/>
            </w:r>
          </w:p>
        </w:tc>
        <w:tc>
          <w:tcPr>
            <w:tcW w:w="6975" w:type="dxa"/>
          </w:tcPr>
          <w:p w:rsidR="001D4131" w:rsidRDefault="001D4131" w:rsidP="001D4131">
            <w:r>
              <w:t>• agree building and plant inspection programme</w:t>
            </w:r>
          </w:p>
          <w:p w:rsidR="001D4131" w:rsidRDefault="001D4131" w:rsidP="001D4131">
            <w:r>
              <w:t>• agree repair and maintenance programme</w:t>
            </w:r>
          </w:p>
          <w:p w:rsidR="001D4131" w:rsidRDefault="001D4131" w:rsidP="001D4131">
            <w:r>
              <w:t>• agree capital expenditure budgets</w:t>
            </w:r>
          </w:p>
          <w:p w:rsidR="001D4131" w:rsidRDefault="001D4131" w:rsidP="001D4131">
            <w:r>
              <w:t>• undertake efficiency review</w:t>
            </w:r>
          </w:p>
          <w:p w:rsidR="001D4131" w:rsidRDefault="001D4131" w:rsidP="0065531C"/>
        </w:tc>
      </w:tr>
      <w:tr w:rsidR="001D4131" w:rsidTr="001D4131">
        <w:tc>
          <w:tcPr>
            <w:tcW w:w="6974" w:type="dxa"/>
          </w:tcPr>
          <w:p w:rsidR="001D4131" w:rsidRDefault="001D4131" w:rsidP="0065531C">
            <w:r>
              <w:t>Security of assets</w:t>
            </w:r>
          </w:p>
        </w:tc>
        <w:tc>
          <w:tcPr>
            <w:tcW w:w="6975" w:type="dxa"/>
          </w:tcPr>
          <w:p w:rsidR="001D4131" w:rsidRDefault="001D4131" w:rsidP="001D4131">
            <w:r>
              <w:t>• loss or damage</w:t>
            </w:r>
          </w:p>
          <w:p w:rsidR="001D4131" w:rsidRDefault="001D4131" w:rsidP="001D4131">
            <w:r>
              <w:t>• theft of assets</w:t>
            </w:r>
          </w:p>
          <w:p w:rsidR="001D4131" w:rsidRDefault="001D4131" w:rsidP="001D4131">
            <w:r>
              <w:t>• infringements of intellectual property rights</w:t>
            </w:r>
            <w:r>
              <w:tab/>
            </w:r>
          </w:p>
        </w:tc>
        <w:tc>
          <w:tcPr>
            <w:tcW w:w="6975" w:type="dxa"/>
          </w:tcPr>
          <w:p w:rsidR="001D4131" w:rsidRDefault="001D4131" w:rsidP="001D4131">
            <w:r>
              <w:t>• review security arrangements</w:t>
            </w:r>
          </w:p>
          <w:p w:rsidR="001D4131" w:rsidRDefault="001D4131" w:rsidP="001D4131">
            <w:r>
              <w:t>• create asset register and inspection programme</w:t>
            </w:r>
          </w:p>
          <w:p w:rsidR="001D4131" w:rsidRDefault="001D4131" w:rsidP="001D4131">
            <w:r>
              <w:t>• agree facility management arrangements</w:t>
            </w:r>
          </w:p>
          <w:p w:rsidR="001D4131" w:rsidRDefault="001D4131" w:rsidP="001D4131">
            <w:r>
              <w:t>• have safe custody arrangements for title documents and land registration</w:t>
            </w:r>
          </w:p>
          <w:p w:rsidR="001D4131" w:rsidRDefault="001D4131" w:rsidP="001D4131">
            <w:r>
              <w:t>• manage use of patent and intellectual property</w:t>
            </w:r>
          </w:p>
          <w:p w:rsidR="001D4131" w:rsidRDefault="001D4131" w:rsidP="001D4131">
            <w:r>
              <w:t>• review insurance cover</w:t>
            </w:r>
          </w:p>
          <w:p w:rsidR="001D4131" w:rsidRDefault="001D4131" w:rsidP="0065531C"/>
        </w:tc>
      </w:tr>
      <w:tr w:rsidR="001D4131" w:rsidTr="001D4131">
        <w:tc>
          <w:tcPr>
            <w:tcW w:w="6974" w:type="dxa"/>
          </w:tcPr>
          <w:p w:rsidR="001D4131" w:rsidRDefault="001D4131" w:rsidP="0065531C">
            <w:r>
              <w:t>Fund-raising</w:t>
            </w:r>
          </w:p>
        </w:tc>
        <w:tc>
          <w:tcPr>
            <w:tcW w:w="6975" w:type="dxa"/>
          </w:tcPr>
          <w:p w:rsidR="001D4131" w:rsidRDefault="001D4131" w:rsidP="001D4131">
            <w:r>
              <w:t>• unsatisfactory returns</w:t>
            </w:r>
          </w:p>
          <w:p w:rsidR="001D4131" w:rsidRDefault="001D4131" w:rsidP="001D4131">
            <w:r>
              <w:t>• reputational risks of campaign or methods used</w:t>
            </w:r>
          </w:p>
          <w:p w:rsidR="001D4131" w:rsidRDefault="001D4131" w:rsidP="001D4131">
            <w:r>
              <w:t>• actions of agents and commercial fund-raisers</w:t>
            </w:r>
          </w:p>
          <w:p w:rsidR="001D4131" w:rsidRDefault="001D4131" w:rsidP="001D4131">
            <w:r>
              <w:t>• compliance with law and regulation</w:t>
            </w:r>
            <w:r>
              <w:tab/>
            </w:r>
          </w:p>
        </w:tc>
        <w:tc>
          <w:tcPr>
            <w:tcW w:w="6975" w:type="dxa"/>
          </w:tcPr>
          <w:p w:rsidR="001D4131" w:rsidRDefault="001D4131" w:rsidP="001D4131">
            <w:r>
              <w:t>• implement appraisal, budgeting and authorisation procedures</w:t>
            </w:r>
          </w:p>
          <w:p w:rsidR="001D4131" w:rsidRDefault="001D4131" w:rsidP="001D4131">
            <w:r>
              <w:t>• review regulatory compliance</w:t>
            </w:r>
          </w:p>
          <w:p w:rsidR="001D4131" w:rsidRDefault="001D4131" w:rsidP="001D4131">
            <w:r>
              <w:t xml:space="preserve">• monitor the adequacy of financial returns achieved (benchmarking comparisons) </w:t>
            </w:r>
          </w:p>
          <w:p w:rsidR="001D4131" w:rsidRDefault="001D4131" w:rsidP="001D4131">
            <w:r>
              <w:t>• stewardship reporting in annual report</w:t>
            </w:r>
          </w:p>
        </w:tc>
      </w:tr>
      <w:tr w:rsidR="001D4131" w:rsidTr="001D4131">
        <w:tc>
          <w:tcPr>
            <w:tcW w:w="6974" w:type="dxa"/>
          </w:tcPr>
          <w:p w:rsidR="001D4131" w:rsidRDefault="001D4131" w:rsidP="0065531C">
            <w:r>
              <w:t>Employment issues</w:t>
            </w:r>
          </w:p>
        </w:tc>
        <w:tc>
          <w:tcPr>
            <w:tcW w:w="6975" w:type="dxa"/>
          </w:tcPr>
          <w:p w:rsidR="001D4131" w:rsidRDefault="001D4131" w:rsidP="001D4131">
            <w:r>
              <w:t>• employment disputes</w:t>
            </w:r>
          </w:p>
          <w:p w:rsidR="001D4131" w:rsidRDefault="001D4131" w:rsidP="001D4131">
            <w:r>
              <w:t>• health and safety issues</w:t>
            </w:r>
          </w:p>
          <w:p w:rsidR="001D4131" w:rsidRDefault="001D4131" w:rsidP="001D4131">
            <w:r>
              <w:t>• claims for injury, stress, harassment, unfair dismissal</w:t>
            </w:r>
          </w:p>
          <w:p w:rsidR="001D4131" w:rsidRDefault="001D4131" w:rsidP="001D4131">
            <w:r>
              <w:t>• equal opportunity and diversity issues</w:t>
            </w:r>
          </w:p>
          <w:p w:rsidR="001D4131" w:rsidRDefault="001D4131" w:rsidP="001D4131">
            <w:r>
              <w:t>• adequacy of staff training</w:t>
            </w:r>
          </w:p>
          <w:p w:rsidR="001D4131" w:rsidRDefault="001D4131" w:rsidP="001D4131">
            <w:r>
              <w:t>• child protection issues</w:t>
            </w:r>
          </w:p>
          <w:p w:rsidR="001D4131" w:rsidRDefault="001D4131" w:rsidP="001D4131">
            <w:r>
              <w:t>• low morale</w:t>
            </w:r>
          </w:p>
          <w:p w:rsidR="001D4131" w:rsidRDefault="001D4131" w:rsidP="001D4131">
            <w:r>
              <w:t>• abuse of vulnerable beneficiaries</w:t>
            </w:r>
          </w:p>
        </w:tc>
        <w:tc>
          <w:tcPr>
            <w:tcW w:w="6975" w:type="dxa"/>
          </w:tcPr>
          <w:p w:rsidR="001D4131" w:rsidRDefault="001D4131" w:rsidP="001D4131">
            <w:r>
              <w:t>• review recruitment processes</w:t>
            </w:r>
          </w:p>
          <w:p w:rsidR="001D4131" w:rsidRDefault="001D4131" w:rsidP="001D4131">
            <w:r>
              <w:t>• agree reference and qualification checking procedures, job descriptions, contracts of employment, appraisals and feedback procedures</w:t>
            </w:r>
          </w:p>
          <w:p w:rsidR="001D4131" w:rsidRDefault="001D4131" w:rsidP="001D4131">
            <w:r>
              <w:t>• implement job training and development</w:t>
            </w:r>
          </w:p>
          <w:p w:rsidR="001D4131" w:rsidRDefault="001D4131" w:rsidP="001D4131">
            <w:r>
              <w:t>• implement health and safety training and monitoring</w:t>
            </w:r>
          </w:p>
          <w:p w:rsidR="001D4131" w:rsidRDefault="001D4131" w:rsidP="001D4131">
            <w:r>
              <w:t>• be aware of employment law requirements</w:t>
            </w:r>
          </w:p>
          <w:p w:rsidR="001D4131" w:rsidRDefault="001D4131" w:rsidP="001D4131">
            <w:r>
              <w:t>• implement staff vetting and legal requirements (</w:t>
            </w:r>
            <w:proofErr w:type="spellStart"/>
            <w:r>
              <w:t>eg</w:t>
            </w:r>
            <w:proofErr w:type="spellEnd"/>
            <w:r>
              <w:t xml:space="preserve"> DBS checks) </w:t>
            </w:r>
          </w:p>
          <w:p w:rsidR="001D4131" w:rsidRDefault="001D4131" w:rsidP="001D4131">
            <w:r>
              <w:t>• agree a whistle-blowing policy</w:t>
            </w:r>
          </w:p>
        </w:tc>
      </w:tr>
      <w:tr w:rsidR="001D4131" w:rsidTr="001D4131">
        <w:tc>
          <w:tcPr>
            <w:tcW w:w="6974" w:type="dxa"/>
          </w:tcPr>
          <w:p w:rsidR="001D4131" w:rsidRDefault="001D4131" w:rsidP="0065531C">
            <w:r>
              <w:t>High staff turnover</w:t>
            </w:r>
          </w:p>
        </w:tc>
        <w:tc>
          <w:tcPr>
            <w:tcW w:w="6975" w:type="dxa"/>
          </w:tcPr>
          <w:p w:rsidR="001D4131" w:rsidRDefault="001D4131" w:rsidP="001D4131">
            <w:r>
              <w:t>• loss of experience or key technical skills</w:t>
            </w:r>
          </w:p>
          <w:p w:rsidR="001D4131" w:rsidRDefault="001D4131" w:rsidP="001D4131">
            <w:r>
              <w:t>• recruitment costs and lead time</w:t>
            </w:r>
          </w:p>
          <w:p w:rsidR="001D4131" w:rsidRDefault="001D4131" w:rsidP="001D4131">
            <w:r>
              <w:lastRenderedPageBreak/>
              <w:t>• training costs</w:t>
            </w:r>
          </w:p>
          <w:p w:rsidR="001D4131" w:rsidRDefault="001D4131" w:rsidP="001D4131">
            <w:r>
              <w:t>• operational impact on staff morale and service delivery</w:t>
            </w:r>
          </w:p>
        </w:tc>
        <w:tc>
          <w:tcPr>
            <w:tcW w:w="6975" w:type="dxa"/>
          </w:tcPr>
          <w:p w:rsidR="001D4131" w:rsidRDefault="001D4131" w:rsidP="001D4131">
            <w:r>
              <w:lastRenderedPageBreak/>
              <w:t>• review interview and assessment processes</w:t>
            </w:r>
          </w:p>
          <w:p w:rsidR="001D4131" w:rsidRDefault="001D4131" w:rsidP="001D4131">
            <w:r>
              <w:t>• agree fair and open competition appointment for key posts</w:t>
            </w:r>
          </w:p>
          <w:p w:rsidR="001D4131" w:rsidRDefault="001D4131" w:rsidP="001D4131">
            <w:r>
              <w:lastRenderedPageBreak/>
              <w:t>• agree job descriptions and performance appraisal and feedback systems</w:t>
            </w:r>
          </w:p>
          <w:p w:rsidR="001D4131" w:rsidRDefault="001D4131" w:rsidP="001D4131">
            <w:r>
              <w:t>• conduct ‘exit’ interviews</w:t>
            </w:r>
          </w:p>
          <w:p w:rsidR="001D4131" w:rsidRDefault="001D4131" w:rsidP="001D4131">
            <w:r>
              <w:t>• review rates of pay, training, working conditions, job satisfaction</w:t>
            </w:r>
          </w:p>
        </w:tc>
      </w:tr>
      <w:tr w:rsidR="001D4131" w:rsidTr="001D4131">
        <w:tc>
          <w:tcPr>
            <w:tcW w:w="6974" w:type="dxa"/>
          </w:tcPr>
          <w:p w:rsidR="001D4131" w:rsidRDefault="001D4131" w:rsidP="0065531C">
            <w:r>
              <w:lastRenderedPageBreak/>
              <w:t>Volunteers</w:t>
            </w:r>
          </w:p>
        </w:tc>
        <w:tc>
          <w:tcPr>
            <w:tcW w:w="6975" w:type="dxa"/>
          </w:tcPr>
          <w:p w:rsidR="001D4131" w:rsidRDefault="001D4131" w:rsidP="001D4131">
            <w:r>
              <w:t>• lack of competences, training and support</w:t>
            </w:r>
          </w:p>
          <w:p w:rsidR="001D4131" w:rsidRDefault="001D4131" w:rsidP="001D4131">
            <w:r>
              <w:t>• poor service for beneficiaries</w:t>
            </w:r>
          </w:p>
          <w:p w:rsidR="001D4131" w:rsidRDefault="001D4131" w:rsidP="001D4131">
            <w:r>
              <w:t>• inadequate vetting and reference procedures</w:t>
            </w:r>
          </w:p>
          <w:p w:rsidR="001D4131" w:rsidRDefault="001D4131" w:rsidP="001D4131">
            <w:r>
              <w:t>• recruitment and dependency</w:t>
            </w:r>
          </w:p>
        </w:tc>
        <w:tc>
          <w:tcPr>
            <w:tcW w:w="6975" w:type="dxa"/>
          </w:tcPr>
          <w:p w:rsidR="001D4131" w:rsidRDefault="001D4131" w:rsidP="001D4131">
            <w:r>
              <w:t>• review and agree role, competencies</w:t>
            </w:r>
          </w:p>
          <w:p w:rsidR="001D4131" w:rsidRDefault="001D4131" w:rsidP="001D4131">
            <w:r>
              <w:t>• review and agree vetting procedures</w:t>
            </w:r>
          </w:p>
          <w:p w:rsidR="001D4131" w:rsidRDefault="001D4131" w:rsidP="001D4131">
            <w:r>
              <w:t>• review and agree training and supervision procedures</w:t>
            </w:r>
          </w:p>
          <w:p w:rsidR="001D4131" w:rsidRDefault="001D4131" w:rsidP="001D4131">
            <w:r>
              <w:t>• agree development and motivation initiatives</w:t>
            </w:r>
          </w:p>
        </w:tc>
      </w:tr>
      <w:tr w:rsidR="001D4131" w:rsidTr="001D4131">
        <w:tc>
          <w:tcPr>
            <w:tcW w:w="6974" w:type="dxa"/>
          </w:tcPr>
          <w:p w:rsidR="001D4131" w:rsidRDefault="001D4131" w:rsidP="0065531C">
            <w:r>
              <w:t>Health, safety and environment</w:t>
            </w:r>
          </w:p>
        </w:tc>
        <w:tc>
          <w:tcPr>
            <w:tcW w:w="6975" w:type="dxa"/>
          </w:tcPr>
          <w:p w:rsidR="001D4131" w:rsidRDefault="001D4131" w:rsidP="001D4131">
            <w:r>
              <w:t>• staff injury</w:t>
            </w:r>
          </w:p>
          <w:p w:rsidR="001D4131" w:rsidRDefault="001D4131" w:rsidP="001D4131">
            <w:r>
              <w:t>• product or service liability</w:t>
            </w:r>
          </w:p>
          <w:p w:rsidR="001D4131" w:rsidRDefault="001D4131" w:rsidP="001D4131">
            <w:r>
              <w:t xml:space="preserve">• ability to operate (see Compliance risks) </w:t>
            </w:r>
          </w:p>
          <w:p w:rsidR="001D4131" w:rsidRDefault="001D4131" w:rsidP="001D4131">
            <w:r>
              <w:t>• injury to beneficiaries and the public</w:t>
            </w:r>
            <w:r>
              <w:tab/>
            </w:r>
          </w:p>
        </w:tc>
        <w:tc>
          <w:tcPr>
            <w:tcW w:w="6975" w:type="dxa"/>
          </w:tcPr>
          <w:p w:rsidR="001D4131" w:rsidRDefault="001D4131" w:rsidP="001D4131">
            <w:r>
              <w:t>• comply with law and regulation</w:t>
            </w:r>
          </w:p>
          <w:p w:rsidR="001D4131" w:rsidRDefault="001D4131" w:rsidP="001D4131">
            <w:r>
              <w:t>• train staff and compliance officer</w:t>
            </w:r>
          </w:p>
          <w:p w:rsidR="001D4131" w:rsidRDefault="001D4131" w:rsidP="001D4131">
            <w:r>
              <w:t>• put in place monitoring and reporting procedures</w:t>
            </w:r>
          </w:p>
        </w:tc>
      </w:tr>
      <w:tr w:rsidR="001D4131" w:rsidTr="001D4131">
        <w:tc>
          <w:tcPr>
            <w:tcW w:w="6974" w:type="dxa"/>
          </w:tcPr>
          <w:p w:rsidR="001D4131" w:rsidRDefault="001D4131" w:rsidP="0065531C">
            <w:r>
              <w:t>Disaster recovery and planning</w:t>
            </w:r>
          </w:p>
        </w:tc>
        <w:tc>
          <w:tcPr>
            <w:tcW w:w="6975" w:type="dxa"/>
          </w:tcPr>
          <w:p w:rsidR="001D4131" w:rsidRDefault="001D4131" w:rsidP="001D4131">
            <w:r>
              <w:t>• computer system failures or loss of data</w:t>
            </w:r>
          </w:p>
          <w:p w:rsidR="001D4131" w:rsidRDefault="001D4131" w:rsidP="001D4131">
            <w:r>
              <w:t>• destruction of property, equipment, records through fire, flood or similar damage</w:t>
            </w:r>
          </w:p>
        </w:tc>
        <w:tc>
          <w:tcPr>
            <w:tcW w:w="6975" w:type="dxa"/>
          </w:tcPr>
          <w:p w:rsidR="001D4131" w:rsidRDefault="001D4131" w:rsidP="001D4131">
            <w:r>
              <w:t>• agree IT recovery plan</w:t>
            </w:r>
          </w:p>
          <w:p w:rsidR="001D4131" w:rsidRDefault="00CB3D0E" w:rsidP="001D4131">
            <w:r>
              <w:t>• implement data back-</w:t>
            </w:r>
            <w:r w:rsidR="001D4131">
              <w:t>up procedures and security measures</w:t>
            </w:r>
          </w:p>
          <w:p w:rsidR="001D4131" w:rsidRDefault="001D4131" w:rsidP="001D4131">
            <w:r>
              <w:t>• review insurance cover</w:t>
            </w:r>
          </w:p>
          <w:p w:rsidR="001D4131" w:rsidRDefault="001D4131" w:rsidP="001D4131">
            <w:r>
              <w:t>• create disaster recovery plan including alternative accommodation</w:t>
            </w:r>
          </w:p>
        </w:tc>
      </w:tr>
      <w:tr w:rsidR="001D4131" w:rsidTr="001D4131">
        <w:tc>
          <w:tcPr>
            <w:tcW w:w="6974" w:type="dxa"/>
          </w:tcPr>
          <w:p w:rsidR="001D4131" w:rsidRDefault="001D4131" w:rsidP="0065531C">
            <w:r>
              <w:t>Procedural and systems documentation</w:t>
            </w:r>
          </w:p>
        </w:tc>
        <w:tc>
          <w:tcPr>
            <w:tcW w:w="6975" w:type="dxa"/>
          </w:tcPr>
          <w:p w:rsidR="001D4131" w:rsidRDefault="001D4131" w:rsidP="001D4131">
            <w:r>
              <w:t>• lack of awareness of procedures and policies</w:t>
            </w:r>
          </w:p>
          <w:p w:rsidR="001D4131" w:rsidRDefault="001D4131" w:rsidP="001D4131">
            <w:r>
              <w:t>• actions taken without proper authority</w:t>
            </w:r>
          </w:p>
        </w:tc>
        <w:tc>
          <w:tcPr>
            <w:tcW w:w="6975" w:type="dxa"/>
          </w:tcPr>
          <w:p w:rsidR="001D4131" w:rsidRDefault="001D4131" w:rsidP="001D4131">
            <w:r>
              <w:t>• properly document policies and procedures</w:t>
            </w:r>
          </w:p>
          <w:p w:rsidR="001D4131" w:rsidRDefault="001D4131" w:rsidP="001D4131">
            <w:r>
              <w:t>• audit and review of systems</w:t>
            </w:r>
          </w:p>
        </w:tc>
      </w:tr>
      <w:tr w:rsidR="001D4131" w:rsidTr="001D4131">
        <w:tc>
          <w:tcPr>
            <w:tcW w:w="6974" w:type="dxa"/>
          </w:tcPr>
          <w:p w:rsidR="001D4131" w:rsidRDefault="001D4131" w:rsidP="0065531C">
            <w:r>
              <w:t>Information technology</w:t>
            </w:r>
            <w:r>
              <w:tab/>
            </w:r>
          </w:p>
        </w:tc>
        <w:tc>
          <w:tcPr>
            <w:tcW w:w="6975" w:type="dxa"/>
          </w:tcPr>
          <w:p w:rsidR="001D4131" w:rsidRDefault="001D4131" w:rsidP="001D4131">
            <w:r>
              <w:t>• systems fail to meet operational need</w:t>
            </w:r>
          </w:p>
          <w:p w:rsidR="001D4131" w:rsidRDefault="001D4131" w:rsidP="001D4131">
            <w:r>
              <w:t>• failure to innovate or update systems</w:t>
            </w:r>
          </w:p>
          <w:p w:rsidR="001D4131" w:rsidRDefault="001D4131" w:rsidP="001D4131">
            <w:r>
              <w:t xml:space="preserve">• loss/corruption of data </w:t>
            </w:r>
            <w:proofErr w:type="spellStart"/>
            <w:r>
              <w:t>eg</w:t>
            </w:r>
            <w:proofErr w:type="spellEnd"/>
            <w:r>
              <w:t xml:space="preserve"> donor base</w:t>
            </w:r>
          </w:p>
          <w:p w:rsidR="001D4131" w:rsidRDefault="001D4131" w:rsidP="001D4131">
            <w:r>
              <w:t>• lack of technical support</w:t>
            </w:r>
          </w:p>
          <w:p w:rsidR="001D4131" w:rsidRDefault="001D4131" w:rsidP="001D4131">
            <w:r>
              <w:t>• breach of data protection law</w:t>
            </w:r>
          </w:p>
        </w:tc>
        <w:tc>
          <w:tcPr>
            <w:tcW w:w="6975" w:type="dxa"/>
          </w:tcPr>
          <w:p w:rsidR="001D4131" w:rsidRDefault="001D4131" w:rsidP="001D4131">
            <w:r>
              <w:t>• appraise system needs and options</w:t>
            </w:r>
          </w:p>
          <w:p w:rsidR="001D4131" w:rsidRDefault="001D4131" w:rsidP="001D4131">
            <w:r>
              <w:t>• appraise security and authorisation procedures</w:t>
            </w:r>
          </w:p>
          <w:p w:rsidR="001D4131" w:rsidRDefault="001D4131" w:rsidP="001D4131">
            <w:r>
              <w:t>• implement measures to secure and protect data</w:t>
            </w:r>
          </w:p>
          <w:p w:rsidR="001D4131" w:rsidRDefault="001D4131" w:rsidP="001D4131">
            <w:r>
              <w:t>• agree implementation and development procedures</w:t>
            </w:r>
          </w:p>
          <w:p w:rsidR="001D4131" w:rsidRDefault="001D4131" w:rsidP="001D4131">
            <w:r>
              <w:t>• use service and support contracts</w:t>
            </w:r>
          </w:p>
          <w:p w:rsidR="001D4131" w:rsidRDefault="001D4131" w:rsidP="001D4131">
            <w:r>
              <w:t>• create disaster recovery procedures</w:t>
            </w:r>
          </w:p>
          <w:p w:rsidR="001D4131" w:rsidRDefault="001D4131" w:rsidP="001D4131">
            <w:r>
              <w:t>• consider outsourcing</w:t>
            </w:r>
          </w:p>
          <w:p w:rsidR="001D4131" w:rsidRDefault="001D4131" w:rsidP="001D4131">
            <w:r>
              <w:t>• review insurance cover for any insurable loss</w:t>
            </w:r>
          </w:p>
        </w:tc>
      </w:tr>
    </w:tbl>
    <w:p w:rsidR="001D4131" w:rsidRDefault="0065531C" w:rsidP="0065531C">
      <w:r>
        <w:tab/>
      </w:r>
    </w:p>
    <w:p w:rsidR="001D4131" w:rsidRDefault="001D4131" w:rsidP="0065531C"/>
    <w:p w:rsidR="001D4131" w:rsidRDefault="001D4131">
      <w:bookmarkStart w:id="0" w:name="_GoBack"/>
      <w:bookmarkEnd w:id="0"/>
      <w:r>
        <w:br w:type="page"/>
      </w:r>
    </w:p>
    <w:p w:rsidR="0065531C" w:rsidRPr="00F72B21" w:rsidRDefault="001D4131" w:rsidP="0065531C">
      <w:pPr>
        <w:rPr>
          <w:b/>
        </w:rPr>
      </w:pPr>
      <w:r w:rsidRPr="00F72B21">
        <w:rPr>
          <w:b/>
        </w:rPr>
        <w:lastRenderedPageBreak/>
        <w:t>FINANCIAL</w:t>
      </w:r>
    </w:p>
    <w:tbl>
      <w:tblPr>
        <w:tblStyle w:val="TableGrid"/>
        <w:tblW w:w="0" w:type="auto"/>
        <w:tblLook w:val="04A0" w:firstRow="1" w:lastRow="0" w:firstColumn="1" w:lastColumn="0" w:noHBand="0" w:noVBand="1"/>
      </w:tblPr>
      <w:tblGrid>
        <w:gridCol w:w="6974"/>
        <w:gridCol w:w="6975"/>
        <w:gridCol w:w="6975"/>
      </w:tblGrid>
      <w:tr w:rsidR="001D4131" w:rsidRPr="00F72B21" w:rsidTr="001D4131">
        <w:tc>
          <w:tcPr>
            <w:tcW w:w="6974" w:type="dxa"/>
          </w:tcPr>
          <w:p w:rsidR="001D4131" w:rsidRPr="00F72B21" w:rsidRDefault="001D4131" w:rsidP="0065531C">
            <w:pPr>
              <w:rPr>
                <w:b/>
              </w:rPr>
            </w:pPr>
            <w:r w:rsidRPr="00F72B21">
              <w:rPr>
                <w:b/>
              </w:rPr>
              <w:t>Potential risk</w:t>
            </w:r>
          </w:p>
        </w:tc>
        <w:tc>
          <w:tcPr>
            <w:tcW w:w="6975" w:type="dxa"/>
          </w:tcPr>
          <w:p w:rsidR="001D4131" w:rsidRPr="00F72B21" w:rsidRDefault="001D4131" w:rsidP="0065531C">
            <w:pPr>
              <w:rPr>
                <w:b/>
              </w:rPr>
            </w:pPr>
            <w:r w:rsidRPr="00F72B21">
              <w:rPr>
                <w:b/>
              </w:rPr>
              <w:t>Potential impact</w:t>
            </w:r>
          </w:p>
        </w:tc>
        <w:tc>
          <w:tcPr>
            <w:tcW w:w="6975" w:type="dxa"/>
          </w:tcPr>
          <w:p w:rsidR="001D4131" w:rsidRPr="00F72B21" w:rsidRDefault="001D4131" w:rsidP="0065531C">
            <w:pPr>
              <w:rPr>
                <w:b/>
              </w:rPr>
            </w:pPr>
            <w:r w:rsidRPr="00F72B21">
              <w:rPr>
                <w:b/>
              </w:rPr>
              <w:t>Steps to mitigate risk</w:t>
            </w:r>
          </w:p>
        </w:tc>
      </w:tr>
      <w:tr w:rsidR="001D4131" w:rsidTr="001D4131">
        <w:tc>
          <w:tcPr>
            <w:tcW w:w="6974" w:type="dxa"/>
          </w:tcPr>
          <w:p w:rsidR="001D4131" w:rsidRDefault="001D4131" w:rsidP="0065531C">
            <w:r>
              <w:t>Budgetary control and financial reporting</w:t>
            </w:r>
          </w:p>
        </w:tc>
        <w:tc>
          <w:tcPr>
            <w:tcW w:w="6975" w:type="dxa"/>
          </w:tcPr>
          <w:p w:rsidR="001D4131" w:rsidRDefault="001D4131" w:rsidP="001D4131">
            <w:r>
              <w:t>• budget does not match key objectives and priorities</w:t>
            </w:r>
          </w:p>
          <w:p w:rsidR="001D4131" w:rsidRDefault="001D4131" w:rsidP="001D4131">
            <w:r>
              <w:t>• decisions made on inaccurate financial projections or reporting</w:t>
            </w:r>
          </w:p>
          <w:p w:rsidR="001D4131" w:rsidRDefault="001D4131" w:rsidP="001D4131">
            <w:r>
              <w:t>• decisions made based on unreliable costing data or income projections</w:t>
            </w:r>
          </w:p>
          <w:p w:rsidR="001D4131" w:rsidRDefault="001D4131" w:rsidP="001D4131">
            <w:r>
              <w:t>• inability to meet commitments or key objectives</w:t>
            </w:r>
          </w:p>
          <w:p w:rsidR="001D4131" w:rsidRDefault="001D4131" w:rsidP="001D4131">
            <w:r>
              <w:t>• poor credit control</w:t>
            </w:r>
          </w:p>
          <w:p w:rsidR="001D4131" w:rsidRDefault="001D4131" w:rsidP="001D4131">
            <w:r>
              <w:t>• poor cash flow and treasury management</w:t>
            </w:r>
          </w:p>
          <w:p w:rsidR="001D4131" w:rsidRDefault="001D4131" w:rsidP="001D4131">
            <w:r>
              <w:t>• ability to function as going concern</w:t>
            </w:r>
          </w:p>
        </w:tc>
        <w:tc>
          <w:tcPr>
            <w:tcW w:w="6975" w:type="dxa"/>
          </w:tcPr>
          <w:p w:rsidR="001D4131" w:rsidRDefault="001D4131" w:rsidP="001D4131">
            <w:r>
              <w:t>• link budgets to business planning and objectives</w:t>
            </w:r>
          </w:p>
          <w:p w:rsidR="001D4131" w:rsidRDefault="001D4131" w:rsidP="001D4131">
            <w:r>
              <w:t>• monitor and report in a timely and accurate way</w:t>
            </w:r>
          </w:p>
          <w:p w:rsidR="001D4131" w:rsidRDefault="001D4131" w:rsidP="001D4131">
            <w:r>
              <w:t>• use proper costing procedures for product or service delivery</w:t>
            </w:r>
          </w:p>
          <w:p w:rsidR="001D4131" w:rsidRDefault="001D4131" w:rsidP="001D4131">
            <w:r>
              <w:t>• ensure adequate skills base to produce and interpret budgetary and financial reports</w:t>
            </w:r>
          </w:p>
          <w:p w:rsidR="001D4131" w:rsidRDefault="001D4131" w:rsidP="001D4131">
            <w:r>
              <w:t>• agree procedures to review and action budget/cash flow variances and monitor and control costs</w:t>
            </w:r>
          </w:p>
          <w:p w:rsidR="001D4131" w:rsidRDefault="001D4131" w:rsidP="001D4131">
            <w:r>
              <w:t>• regularly review reserves and investments</w:t>
            </w:r>
          </w:p>
        </w:tc>
      </w:tr>
      <w:tr w:rsidR="001D4131" w:rsidTr="001D4131">
        <w:tc>
          <w:tcPr>
            <w:tcW w:w="6974" w:type="dxa"/>
          </w:tcPr>
          <w:p w:rsidR="001D4131" w:rsidRDefault="001D4131" w:rsidP="0065531C">
            <w:r>
              <w:t>Reserves policies</w:t>
            </w:r>
          </w:p>
        </w:tc>
        <w:tc>
          <w:tcPr>
            <w:tcW w:w="6975" w:type="dxa"/>
          </w:tcPr>
          <w:p w:rsidR="001D4131" w:rsidRDefault="001D4131" w:rsidP="001D4131">
            <w:r>
              <w:t>• lack of funds or liquidity to respond to new needs or requirements</w:t>
            </w:r>
          </w:p>
          <w:p w:rsidR="001D4131" w:rsidRDefault="001D4131" w:rsidP="001D4131">
            <w:r>
              <w:t>• inability to meet commitments or planned objectives</w:t>
            </w:r>
          </w:p>
          <w:p w:rsidR="001D4131" w:rsidRDefault="001D4131" w:rsidP="001D4131">
            <w:r>
              <w:t>• reputational risks if policy cannot be justified</w:t>
            </w:r>
          </w:p>
        </w:tc>
        <w:tc>
          <w:tcPr>
            <w:tcW w:w="6975" w:type="dxa"/>
          </w:tcPr>
          <w:p w:rsidR="001D4131" w:rsidRDefault="001D4131" w:rsidP="001D4131">
            <w:r>
              <w:t>• link reserves policy to business plans, activities and identified financial and operating risk</w:t>
            </w:r>
          </w:p>
          <w:p w:rsidR="001D4131" w:rsidRDefault="001D4131" w:rsidP="001D4131">
            <w:r>
              <w:t>• regularly review reserves policy and reserve levels</w:t>
            </w:r>
          </w:p>
        </w:tc>
      </w:tr>
      <w:tr w:rsidR="001D4131" w:rsidTr="001D4131">
        <w:tc>
          <w:tcPr>
            <w:tcW w:w="6974" w:type="dxa"/>
          </w:tcPr>
          <w:p w:rsidR="001D4131" w:rsidRDefault="001D4131" w:rsidP="0065531C">
            <w:r>
              <w:t>Cash flow sensitivities</w:t>
            </w:r>
          </w:p>
        </w:tc>
        <w:tc>
          <w:tcPr>
            <w:tcW w:w="6975" w:type="dxa"/>
          </w:tcPr>
          <w:p w:rsidR="001D4131" w:rsidRDefault="001D4131" w:rsidP="001D4131">
            <w:r>
              <w:t>• inability to meet commitments</w:t>
            </w:r>
          </w:p>
          <w:p w:rsidR="001D4131" w:rsidRDefault="001D4131" w:rsidP="001D4131">
            <w:r>
              <w:t>• lack of liquidity to cover variance in costs</w:t>
            </w:r>
          </w:p>
          <w:p w:rsidR="001D4131" w:rsidRDefault="001D4131" w:rsidP="001D4131">
            <w:r>
              <w:t>• impact on operational activities</w:t>
            </w:r>
          </w:p>
        </w:tc>
        <w:tc>
          <w:tcPr>
            <w:tcW w:w="6975" w:type="dxa"/>
          </w:tcPr>
          <w:p w:rsidR="001D4131" w:rsidRDefault="001D4131" w:rsidP="001D4131">
            <w:r>
              <w:t xml:space="preserve">• ensure adequate cash flow projections (prudence of assumptions) </w:t>
            </w:r>
          </w:p>
          <w:p w:rsidR="001D4131" w:rsidRDefault="001D4131" w:rsidP="001D4131">
            <w:r>
              <w:t>• identify major sensitivities</w:t>
            </w:r>
          </w:p>
          <w:p w:rsidR="001D4131" w:rsidRDefault="001D4131" w:rsidP="001D4131">
            <w:r>
              <w:t>• ensure adequate information flow from operational managers</w:t>
            </w:r>
          </w:p>
          <w:p w:rsidR="001D4131" w:rsidRDefault="001D4131" w:rsidP="001D4131">
            <w:r>
              <w:t>• monitor arrangements and reporting</w:t>
            </w:r>
          </w:p>
        </w:tc>
      </w:tr>
      <w:tr w:rsidR="001D4131" w:rsidTr="001D4131">
        <w:tc>
          <w:tcPr>
            <w:tcW w:w="6974" w:type="dxa"/>
          </w:tcPr>
          <w:p w:rsidR="001D4131" w:rsidRDefault="001D4131" w:rsidP="0065531C">
            <w:r>
              <w:t>Dependency on income sources</w:t>
            </w:r>
          </w:p>
        </w:tc>
        <w:tc>
          <w:tcPr>
            <w:tcW w:w="6975" w:type="dxa"/>
          </w:tcPr>
          <w:p w:rsidR="001D4131" w:rsidRDefault="001D4131" w:rsidP="0065531C">
            <w:r>
              <w:t>• cash flow and budget impact of loss of income source</w:t>
            </w:r>
            <w:r>
              <w:tab/>
            </w:r>
          </w:p>
        </w:tc>
        <w:tc>
          <w:tcPr>
            <w:tcW w:w="6975" w:type="dxa"/>
          </w:tcPr>
          <w:p w:rsidR="001D4131" w:rsidRDefault="001D4131" w:rsidP="001D4131">
            <w:r>
              <w:t>• identify major dependencies</w:t>
            </w:r>
          </w:p>
          <w:p w:rsidR="001D4131" w:rsidRDefault="001D4131" w:rsidP="001D4131">
            <w:r>
              <w:t>• implement adequate reserves policy</w:t>
            </w:r>
          </w:p>
          <w:p w:rsidR="001D4131" w:rsidRDefault="001D4131" w:rsidP="001D4131">
            <w:r>
              <w:t>• consider diversification plans</w:t>
            </w:r>
          </w:p>
        </w:tc>
      </w:tr>
      <w:tr w:rsidR="001D4131" w:rsidTr="001D4131">
        <w:tc>
          <w:tcPr>
            <w:tcW w:w="6974" w:type="dxa"/>
          </w:tcPr>
          <w:p w:rsidR="001D4131" w:rsidRDefault="001D4131" w:rsidP="0065531C">
            <w:r>
              <w:t>Pricing policy</w:t>
            </w:r>
          </w:p>
        </w:tc>
        <w:tc>
          <w:tcPr>
            <w:tcW w:w="6975" w:type="dxa"/>
          </w:tcPr>
          <w:p w:rsidR="001D4131" w:rsidRDefault="001D4131" w:rsidP="001D4131">
            <w:r>
              <w:t>• reliance on subsidy funding</w:t>
            </w:r>
          </w:p>
          <w:p w:rsidR="001D4131" w:rsidRDefault="001D4131" w:rsidP="001D4131">
            <w:r>
              <w:t>• unplanned loss from pricing errors</w:t>
            </w:r>
          </w:p>
          <w:p w:rsidR="001D4131" w:rsidRDefault="001D4131" w:rsidP="001D4131">
            <w:r>
              <w:t>• cash flow impact on other activities</w:t>
            </w:r>
          </w:p>
          <w:p w:rsidR="001D4131" w:rsidRDefault="001D4131" w:rsidP="001D4131">
            <w:r>
              <w:t>• loss of contracts if uncompetitive</w:t>
            </w:r>
          </w:p>
          <w:p w:rsidR="001D4131" w:rsidRDefault="001D4131" w:rsidP="001D4131">
            <w:r>
              <w:t>• affordability of services to beneficiary class</w:t>
            </w:r>
          </w:p>
        </w:tc>
        <w:tc>
          <w:tcPr>
            <w:tcW w:w="6975" w:type="dxa"/>
          </w:tcPr>
          <w:p w:rsidR="001D4131" w:rsidRDefault="001D4131" w:rsidP="001D4131">
            <w:r>
              <w:t>• ensure accurate costing of services and contracts</w:t>
            </w:r>
          </w:p>
          <w:p w:rsidR="001D4131" w:rsidRDefault="001D4131" w:rsidP="001D4131">
            <w:r>
              <w:t>• compare with other service providers</w:t>
            </w:r>
          </w:p>
          <w:p w:rsidR="001D4131" w:rsidRDefault="001D4131" w:rsidP="001D4131">
            <w:r>
              <w:t>• notify and agree price variations with funders</w:t>
            </w:r>
          </w:p>
          <w:p w:rsidR="001D4131" w:rsidRDefault="001D4131" w:rsidP="001D4131">
            <w:r>
              <w:t>• monitor funder satisfaction</w:t>
            </w:r>
          </w:p>
          <w:p w:rsidR="001D4131" w:rsidRDefault="001D4131" w:rsidP="001D4131">
            <w:r>
              <w:t>• develop pricing policy for activities including terms of settlement and discounts</w:t>
            </w:r>
          </w:p>
        </w:tc>
      </w:tr>
      <w:tr w:rsidR="001D4131" w:rsidTr="001D4131">
        <w:tc>
          <w:tcPr>
            <w:tcW w:w="6974" w:type="dxa"/>
          </w:tcPr>
          <w:p w:rsidR="001D4131" w:rsidRDefault="001D4131" w:rsidP="0065531C">
            <w:r>
              <w:t>Borrowing</w:t>
            </w:r>
          </w:p>
        </w:tc>
        <w:tc>
          <w:tcPr>
            <w:tcW w:w="6975" w:type="dxa"/>
          </w:tcPr>
          <w:p w:rsidR="001D4131" w:rsidRDefault="001D4131" w:rsidP="001D4131">
            <w:r>
              <w:t>• interest rate movements</w:t>
            </w:r>
          </w:p>
          <w:p w:rsidR="001D4131" w:rsidRDefault="001D4131" w:rsidP="001D4131">
            <w:r>
              <w:t>• ability to meet repayment schedule</w:t>
            </w:r>
          </w:p>
          <w:p w:rsidR="001D4131" w:rsidRDefault="001D4131" w:rsidP="001D4131">
            <w:r>
              <w:t>• security given over assets</w:t>
            </w:r>
          </w:p>
          <w:p w:rsidR="001D4131" w:rsidRDefault="001D4131" w:rsidP="001D4131">
            <w:r>
              <w:t>• regulatory requirements</w:t>
            </w:r>
          </w:p>
        </w:tc>
        <w:tc>
          <w:tcPr>
            <w:tcW w:w="6975" w:type="dxa"/>
          </w:tcPr>
          <w:p w:rsidR="001D4131" w:rsidRDefault="001D4131" w:rsidP="001D4131">
            <w:r>
              <w:t>• appraise future income streams to service the debt</w:t>
            </w:r>
          </w:p>
          <w:p w:rsidR="001D4131" w:rsidRDefault="001D4131" w:rsidP="001D4131">
            <w:r>
              <w:t xml:space="preserve">• appraise terms (rates available fixed, capped, variable </w:t>
            </w:r>
            <w:proofErr w:type="spellStart"/>
            <w:r>
              <w:t>etc</w:t>
            </w:r>
            <w:proofErr w:type="spellEnd"/>
            <w:r>
              <w:t xml:space="preserve">) </w:t>
            </w:r>
          </w:p>
          <w:p w:rsidR="001D4131" w:rsidRDefault="001D4131" w:rsidP="001D4131">
            <w:r>
              <w:t>• appraise return on borrowing</w:t>
            </w:r>
          </w:p>
          <w:p w:rsidR="001D4131" w:rsidRDefault="001D4131" w:rsidP="001D4131">
            <w:r>
              <w:t>• use appropriate professional advice</w:t>
            </w:r>
          </w:p>
        </w:tc>
      </w:tr>
      <w:tr w:rsidR="001D4131" w:rsidTr="001D4131">
        <w:tc>
          <w:tcPr>
            <w:tcW w:w="6974" w:type="dxa"/>
          </w:tcPr>
          <w:p w:rsidR="001D4131" w:rsidRDefault="001D4131" w:rsidP="0065531C">
            <w:r>
              <w:t>Guarantees to third parties</w:t>
            </w:r>
          </w:p>
        </w:tc>
        <w:tc>
          <w:tcPr>
            <w:tcW w:w="6975" w:type="dxa"/>
          </w:tcPr>
          <w:p w:rsidR="001D4131" w:rsidRDefault="001D4131" w:rsidP="001D4131">
            <w:r>
              <w:t>• call made under guarantee</w:t>
            </w:r>
          </w:p>
          <w:p w:rsidR="001D4131" w:rsidRDefault="001D4131" w:rsidP="001D4131">
            <w:r>
              <w:t>• lack of reserves or liquidity to meet call</w:t>
            </w:r>
          </w:p>
          <w:p w:rsidR="001D4131" w:rsidRDefault="001D4131" w:rsidP="001D4131">
            <w:r>
              <w:t>• consistency with objects and priorities</w:t>
            </w:r>
            <w:r>
              <w:tab/>
            </w:r>
          </w:p>
        </w:tc>
        <w:tc>
          <w:tcPr>
            <w:tcW w:w="6975" w:type="dxa"/>
          </w:tcPr>
          <w:p w:rsidR="001D4131" w:rsidRDefault="001D4131" w:rsidP="001D4131">
            <w:r>
              <w:t>• review approval and authority procedures</w:t>
            </w:r>
          </w:p>
          <w:p w:rsidR="001D4131" w:rsidRDefault="001D4131" w:rsidP="001D4131">
            <w:r>
              <w:t>• agree procedures to ensure consistency with objects, plans and priorities</w:t>
            </w:r>
          </w:p>
          <w:p w:rsidR="001D4131" w:rsidRDefault="001D4131" w:rsidP="001D4131">
            <w:r>
              <w:t>• ensure financial reporting of contingency and amendment to reserves policy</w:t>
            </w:r>
          </w:p>
        </w:tc>
      </w:tr>
      <w:tr w:rsidR="00F72B21" w:rsidTr="001D4131">
        <w:tc>
          <w:tcPr>
            <w:tcW w:w="6974" w:type="dxa"/>
          </w:tcPr>
          <w:p w:rsidR="00F72B21" w:rsidRDefault="00F72B21" w:rsidP="0065531C">
            <w:r>
              <w:t>Foreign currency</w:t>
            </w:r>
          </w:p>
        </w:tc>
        <w:tc>
          <w:tcPr>
            <w:tcW w:w="6975" w:type="dxa"/>
          </w:tcPr>
          <w:p w:rsidR="00F72B21" w:rsidRDefault="00F72B21" w:rsidP="00F72B21">
            <w:r>
              <w:t>• currency exchange losses</w:t>
            </w:r>
          </w:p>
          <w:p w:rsidR="00F72B21" w:rsidRDefault="00F72B21" w:rsidP="00F72B21">
            <w:r>
              <w:t>• uncertainty over project costs</w:t>
            </w:r>
          </w:p>
          <w:p w:rsidR="00F72B21" w:rsidRDefault="00F72B21" w:rsidP="00F72B21">
            <w:r>
              <w:t>• cash flow impact on operational activities</w:t>
            </w:r>
          </w:p>
        </w:tc>
        <w:tc>
          <w:tcPr>
            <w:tcW w:w="6975" w:type="dxa"/>
          </w:tcPr>
          <w:p w:rsidR="00F72B21" w:rsidRDefault="00F72B21" w:rsidP="00F72B21">
            <w:r>
              <w:t>• ensure proper cash flow management and reserves policy</w:t>
            </w:r>
          </w:p>
          <w:p w:rsidR="00F72B21" w:rsidRDefault="00F72B21" w:rsidP="00F72B21">
            <w:r>
              <w:t xml:space="preserve">• use currency matching (cost to charity in home currency) </w:t>
            </w:r>
          </w:p>
          <w:p w:rsidR="00F72B21" w:rsidRDefault="00F72B21" w:rsidP="00F72B21">
            <w:r>
              <w:t>• consider forward contracts for operational needs (hedging)</w:t>
            </w:r>
          </w:p>
        </w:tc>
      </w:tr>
      <w:tr w:rsidR="00F72B21" w:rsidTr="001D4131">
        <w:tc>
          <w:tcPr>
            <w:tcW w:w="6974" w:type="dxa"/>
          </w:tcPr>
          <w:p w:rsidR="00F72B21" w:rsidRDefault="00F72B21" w:rsidP="0065531C">
            <w:r>
              <w:t>Pension commitments</w:t>
            </w:r>
          </w:p>
        </w:tc>
        <w:tc>
          <w:tcPr>
            <w:tcW w:w="6975" w:type="dxa"/>
          </w:tcPr>
          <w:p w:rsidR="00F72B21" w:rsidRDefault="00F72B21" w:rsidP="00F72B21">
            <w:r>
              <w:t>• under-funded defined benefit scheme</w:t>
            </w:r>
          </w:p>
          <w:p w:rsidR="00F72B21" w:rsidRDefault="00F72B21" w:rsidP="00F72B21">
            <w:r>
              <w:t>• impact on future cash flows</w:t>
            </w:r>
          </w:p>
          <w:p w:rsidR="00F72B21" w:rsidRDefault="00F72B21" w:rsidP="00F72B21">
            <w:r>
              <w:t>• failure to meet due dates of payment</w:t>
            </w:r>
          </w:p>
          <w:p w:rsidR="00F72B21" w:rsidRDefault="00F72B21" w:rsidP="00F72B21">
            <w:r>
              <w:t>• regulatory action or fines</w:t>
            </w:r>
          </w:p>
        </w:tc>
        <w:tc>
          <w:tcPr>
            <w:tcW w:w="6975" w:type="dxa"/>
          </w:tcPr>
          <w:p w:rsidR="00F72B21" w:rsidRDefault="00F72B21" w:rsidP="00F72B21">
            <w:r>
              <w:t>• use actuarial valuations</w:t>
            </w:r>
          </w:p>
          <w:p w:rsidR="00F72B21" w:rsidRDefault="00F72B21" w:rsidP="00F72B21">
            <w:r>
              <w:t>• review pension scheme arrangements (</w:t>
            </w:r>
            <w:proofErr w:type="spellStart"/>
            <w:r>
              <w:t>eg</w:t>
            </w:r>
            <w:proofErr w:type="spellEnd"/>
            <w:r>
              <w:t xml:space="preserve"> money purchase schemes) </w:t>
            </w:r>
          </w:p>
          <w:p w:rsidR="00F72B21" w:rsidRDefault="00F72B21" w:rsidP="00F72B21">
            <w:r>
              <w:t>• review procedures for admission to scheme and controls over pension administration</w:t>
            </w:r>
          </w:p>
        </w:tc>
      </w:tr>
      <w:tr w:rsidR="00F72B21" w:rsidTr="001D4131">
        <w:tc>
          <w:tcPr>
            <w:tcW w:w="6974" w:type="dxa"/>
          </w:tcPr>
          <w:p w:rsidR="00F72B21" w:rsidRDefault="00F72B21" w:rsidP="0065531C">
            <w:r>
              <w:t>Inappropriate or loss-making non-charitable trading activities</w:t>
            </w:r>
          </w:p>
        </w:tc>
        <w:tc>
          <w:tcPr>
            <w:tcW w:w="6975" w:type="dxa"/>
          </w:tcPr>
          <w:p w:rsidR="00F72B21" w:rsidRDefault="00F72B21" w:rsidP="00F72B21">
            <w:r>
              <w:t>• resources withdrawn from key objectives</w:t>
            </w:r>
          </w:p>
          <w:p w:rsidR="00F72B21" w:rsidRDefault="00F72B21" w:rsidP="00F72B21">
            <w:r>
              <w:t>• resources and energy diverted from profitable fund-raising or core activities</w:t>
            </w:r>
          </w:p>
          <w:p w:rsidR="00F72B21" w:rsidRDefault="00F72B21" w:rsidP="00F72B21">
            <w:r>
              <w:t>• regulatory action, and accountability</w:t>
            </w:r>
          </w:p>
          <w:p w:rsidR="00F72B21" w:rsidRDefault="00F72B21" w:rsidP="00F72B21">
            <w:r>
              <w:t>• reputational risk if publicised</w:t>
            </w:r>
          </w:p>
        </w:tc>
        <w:tc>
          <w:tcPr>
            <w:tcW w:w="6975" w:type="dxa"/>
          </w:tcPr>
          <w:p w:rsidR="00F72B21" w:rsidRDefault="00F72B21" w:rsidP="00F72B21">
            <w:r>
              <w:t>• monitor and review business performance and return</w:t>
            </w:r>
          </w:p>
          <w:p w:rsidR="00F72B21" w:rsidRDefault="00F72B21" w:rsidP="00F72B21">
            <w:r>
              <w:t>• ensure adequacy of budgeting and financial reporting within the subsidiary or activity budget</w:t>
            </w:r>
          </w:p>
          <w:p w:rsidR="00F72B21" w:rsidRDefault="00F72B21" w:rsidP="00F72B21">
            <w:r>
              <w:t xml:space="preserve">• review and agree adequate authorisation procedures for any funding provided by charity (prudence, proper advice, investment criteria) </w:t>
            </w:r>
          </w:p>
          <w:p w:rsidR="00F72B21" w:rsidRDefault="00F72B21" w:rsidP="00F72B21">
            <w:r>
              <w:t>• report funding and performance as part of charity’s own financial reporting system</w:t>
            </w:r>
          </w:p>
          <w:p w:rsidR="00F72B21" w:rsidRDefault="00F72B21" w:rsidP="00F72B21">
            <w:r>
              <w:t>• appraise viability</w:t>
            </w:r>
          </w:p>
          <w:p w:rsidR="00F72B21" w:rsidRDefault="00F72B21" w:rsidP="00F72B21">
            <w:r>
              <w:t>• consider transfer of undertakings to separate subsidiary</w:t>
            </w:r>
          </w:p>
        </w:tc>
      </w:tr>
      <w:tr w:rsidR="00F72B21" w:rsidTr="001D4131">
        <w:tc>
          <w:tcPr>
            <w:tcW w:w="6974" w:type="dxa"/>
          </w:tcPr>
          <w:p w:rsidR="00F72B21" w:rsidRDefault="00F72B21" w:rsidP="0065531C">
            <w:r>
              <w:t>Investment policies</w:t>
            </w:r>
          </w:p>
        </w:tc>
        <w:tc>
          <w:tcPr>
            <w:tcW w:w="6975" w:type="dxa"/>
          </w:tcPr>
          <w:p w:rsidR="00F72B21" w:rsidRDefault="00F72B21" w:rsidP="00F72B21">
            <w:r>
              <w:t>• financial loss through inappropriate or speculative investment</w:t>
            </w:r>
          </w:p>
          <w:p w:rsidR="00F72B21" w:rsidRDefault="00F72B21" w:rsidP="00F72B21">
            <w:r>
              <w:t>• unforeseen severe adverse investment conditions</w:t>
            </w:r>
          </w:p>
          <w:p w:rsidR="00F72B21" w:rsidRDefault="00F72B21" w:rsidP="00F72B21">
            <w:r>
              <w:t>• financial loss through lack of investment advice, lack of diversity</w:t>
            </w:r>
          </w:p>
          <w:p w:rsidR="00F72B21" w:rsidRDefault="00F72B21" w:rsidP="00F72B21">
            <w:r>
              <w:t>• cash flow difficulties arising from lack of liquidity</w:t>
            </w:r>
          </w:p>
        </w:tc>
        <w:tc>
          <w:tcPr>
            <w:tcW w:w="6975" w:type="dxa"/>
          </w:tcPr>
          <w:p w:rsidR="00F72B21" w:rsidRDefault="00F72B21" w:rsidP="00F72B21">
            <w:r>
              <w:t>• review and agree investment policy</w:t>
            </w:r>
          </w:p>
          <w:p w:rsidR="00F72B21" w:rsidRDefault="00F72B21" w:rsidP="00F72B21">
            <w:r>
              <w:t>• obtain proper investment advice or management</w:t>
            </w:r>
          </w:p>
          <w:p w:rsidR="00F72B21" w:rsidRDefault="00F72B21" w:rsidP="00F72B21">
            <w:r>
              <w:t>• consider diversity, prudence and liquidity criteria</w:t>
            </w:r>
          </w:p>
          <w:p w:rsidR="00F72B21" w:rsidRDefault="00F72B21" w:rsidP="00F72B21">
            <w:r>
              <w:t>• implement adequate reserves policy</w:t>
            </w:r>
          </w:p>
          <w:p w:rsidR="00F72B21" w:rsidRDefault="00F72B21" w:rsidP="00F72B21">
            <w:r>
              <w:lastRenderedPageBreak/>
              <w:t>• use regular performance monitoring</w:t>
            </w:r>
          </w:p>
        </w:tc>
      </w:tr>
      <w:tr w:rsidR="00F72B21" w:rsidTr="001D4131">
        <w:tc>
          <w:tcPr>
            <w:tcW w:w="6974" w:type="dxa"/>
          </w:tcPr>
          <w:p w:rsidR="00F72B21" w:rsidRDefault="00F72B21" w:rsidP="0065531C">
            <w:r>
              <w:lastRenderedPageBreak/>
              <w:t>Protection of permanent endowment</w:t>
            </w:r>
          </w:p>
        </w:tc>
        <w:tc>
          <w:tcPr>
            <w:tcW w:w="6975" w:type="dxa"/>
          </w:tcPr>
          <w:p w:rsidR="00F72B21" w:rsidRDefault="00F72B21" w:rsidP="00F72B21">
            <w:r>
              <w:t>• loss of future income stream or capital values</w:t>
            </w:r>
          </w:p>
          <w:p w:rsidR="00F72B21" w:rsidRDefault="00F72B21" w:rsidP="00F72B21">
            <w:r>
              <w:t>• buildings unfit for purpose</w:t>
            </w:r>
          </w:p>
          <w:p w:rsidR="00F72B21" w:rsidRDefault="00F72B21" w:rsidP="00F72B21">
            <w:r>
              <w:t>• income streams inappropriate to meet beneficiary needs</w:t>
            </w:r>
          </w:p>
        </w:tc>
        <w:tc>
          <w:tcPr>
            <w:tcW w:w="6975" w:type="dxa"/>
          </w:tcPr>
          <w:p w:rsidR="00F72B21" w:rsidRDefault="00F72B21" w:rsidP="00F72B21">
            <w:r>
              <w:t>• review and agree investment policy</w:t>
            </w:r>
          </w:p>
          <w:p w:rsidR="00F72B21" w:rsidRDefault="00F72B21" w:rsidP="00F72B21">
            <w:r>
              <w:t>• obtain proper investment advice or management</w:t>
            </w:r>
          </w:p>
          <w:p w:rsidR="00F72B21" w:rsidRDefault="00F72B21" w:rsidP="00F72B21">
            <w:r>
              <w:t>• consider diversity, prudence and liquidity criteria</w:t>
            </w:r>
          </w:p>
          <w:p w:rsidR="00F72B21" w:rsidRDefault="00F72B21" w:rsidP="00F72B21">
            <w:r>
              <w:t>• use regular performance monitoring</w:t>
            </w:r>
          </w:p>
          <w:p w:rsidR="00F72B21" w:rsidRDefault="00F72B21" w:rsidP="00F72B21">
            <w:r>
              <w:t>• ensure maintenance and surveyor inspection of buildings</w:t>
            </w:r>
          </w:p>
          <w:p w:rsidR="00F72B21" w:rsidRDefault="00F72B21" w:rsidP="00F72B21">
            <w:r>
              <w:t>• review insurance needs</w:t>
            </w:r>
          </w:p>
        </w:tc>
      </w:tr>
      <w:tr w:rsidR="00F72B21" w:rsidTr="001D4131">
        <w:tc>
          <w:tcPr>
            <w:tcW w:w="6974" w:type="dxa"/>
          </w:tcPr>
          <w:p w:rsidR="00F72B21" w:rsidRDefault="00F72B21" w:rsidP="0065531C">
            <w:r>
              <w:t>Compliance with donor imposed restrictions</w:t>
            </w:r>
          </w:p>
        </w:tc>
        <w:tc>
          <w:tcPr>
            <w:tcW w:w="6975" w:type="dxa"/>
          </w:tcPr>
          <w:p w:rsidR="00F72B21" w:rsidRDefault="00F72B21" w:rsidP="00F72B21">
            <w:r>
              <w:t>• funds applied outside restriction</w:t>
            </w:r>
          </w:p>
          <w:p w:rsidR="00F72B21" w:rsidRDefault="00F72B21" w:rsidP="00F72B21">
            <w:r>
              <w:t>• repayment of grant</w:t>
            </w:r>
          </w:p>
          <w:p w:rsidR="00F72B21" w:rsidRDefault="00F72B21" w:rsidP="00F72B21">
            <w:r>
              <w:t>• future relationship with donor and beneficiaries</w:t>
            </w:r>
          </w:p>
          <w:p w:rsidR="00F72B21" w:rsidRDefault="00F72B21" w:rsidP="00F72B21">
            <w:r>
              <w:t>• regulatory action</w:t>
            </w:r>
          </w:p>
        </w:tc>
        <w:tc>
          <w:tcPr>
            <w:tcW w:w="6975" w:type="dxa"/>
          </w:tcPr>
          <w:p w:rsidR="00F72B21" w:rsidRDefault="00F72B21" w:rsidP="00F72B21">
            <w:r>
              <w:t>• implement systems to identify restricted receipts</w:t>
            </w:r>
          </w:p>
          <w:p w:rsidR="00F72B21" w:rsidRDefault="00F72B21" w:rsidP="00F72B21">
            <w:r>
              <w:t>• agree budget control, monitoring and reporting arrangements</w:t>
            </w:r>
          </w:p>
          <w:p w:rsidR="00F72B21" w:rsidRDefault="00F72B21" w:rsidP="00F72B21"/>
        </w:tc>
      </w:tr>
      <w:tr w:rsidR="00F72B21" w:rsidTr="001D4131">
        <w:tc>
          <w:tcPr>
            <w:tcW w:w="6974" w:type="dxa"/>
          </w:tcPr>
          <w:p w:rsidR="00F72B21" w:rsidRDefault="00F72B21" w:rsidP="0065531C">
            <w:r>
              <w:t>Fraud or error</w:t>
            </w:r>
          </w:p>
        </w:tc>
        <w:tc>
          <w:tcPr>
            <w:tcW w:w="6975" w:type="dxa"/>
          </w:tcPr>
          <w:p w:rsidR="00F72B21" w:rsidRDefault="00F72B21" w:rsidP="00F72B21">
            <w:r>
              <w:t>• financial loss</w:t>
            </w:r>
          </w:p>
          <w:p w:rsidR="00F72B21" w:rsidRDefault="00F72B21" w:rsidP="00F72B21">
            <w:r>
              <w:t>• reputational risk</w:t>
            </w:r>
          </w:p>
          <w:p w:rsidR="00F72B21" w:rsidRDefault="00F72B21" w:rsidP="00F72B21">
            <w:r>
              <w:t>• loss of staff morale</w:t>
            </w:r>
          </w:p>
          <w:p w:rsidR="00F72B21" w:rsidRDefault="00F72B21" w:rsidP="00F72B21">
            <w:r>
              <w:t>• regulatory action</w:t>
            </w:r>
          </w:p>
          <w:p w:rsidR="00F72B21" w:rsidRDefault="00F72B21" w:rsidP="00F72B21">
            <w:r>
              <w:t>• impact on funding</w:t>
            </w:r>
          </w:p>
        </w:tc>
        <w:tc>
          <w:tcPr>
            <w:tcW w:w="6975" w:type="dxa"/>
          </w:tcPr>
          <w:p w:rsidR="00F72B21" w:rsidRDefault="00F72B21" w:rsidP="00F72B21">
            <w:r>
              <w:t>• review financial control procedures</w:t>
            </w:r>
          </w:p>
          <w:p w:rsidR="00F72B21" w:rsidRDefault="00F72B21" w:rsidP="00F72B21">
            <w:r>
              <w:t>• segregate duties</w:t>
            </w:r>
          </w:p>
          <w:p w:rsidR="00F72B21" w:rsidRDefault="00F72B21" w:rsidP="00F72B21">
            <w:r>
              <w:t>• set authorisation limits</w:t>
            </w:r>
          </w:p>
          <w:p w:rsidR="00F72B21" w:rsidRDefault="00F72B21" w:rsidP="00F72B21">
            <w:r>
              <w:t>• agree whistle-blowing an</w:t>
            </w:r>
            <w:r w:rsidR="00CB3D0E">
              <w:t>ti-</w:t>
            </w:r>
            <w:r>
              <w:t>fraud policy</w:t>
            </w:r>
          </w:p>
          <w:p w:rsidR="00F72B21" w:rsidRDefault="00F72B21" w:rsidP="00F72B21">
            <w:r>
              <w:t>• review security of assets</w:t>
            </w:r>
          </w:p>
          <w:p w:rsidR="00F72B21" w:rsidRDefault="00F72B21" w:rsidP="00F72B21">
            <w:r>
              <w:t>• identify insurable risks</w:t>
            </w:r>
          </w:p>
        </w:tc>
      </w:tr>
      <w:tr w:rsidR="00F72B21" w:rsidTr="001D4131">
        <w:tc>
          <w:tcPr>
            <w:tcW w:w="6974" w:type="dxa"/>
          </w:tcPr>
          <w:p w:rsidR="00F72B21" w:rsidRDefault="00F72B21" w:rsidP="0065531C">
            <w:r>
              <w:t>Counter party risk</w:t>
            </w:r>
          </w:p>
        </w:tc>
        <w:tc>
          <w:tcPr>
            <w:tcW w:w="6975" w:type="dxa"/>
          </w:tcPr>
          <w:p w:rsidR="00F72B21" w:rsidRDefault="00F72B21" w:rsidP="00F72B21">
            <w:r>
              <w:t>• financial loss</w:t>
            </w:r>
          </w:p>
          <w:p w:rsidR="00F72B21" w:rsidRDefault="00F72B21" w:rsidP="00F72B21">
            <w:r>
              <w:t>• disruption to activities or operations</w:t>
            </w:r>
          </w:p>
        </w:tc>
        <w:tc>
          <w:tcPr>
            <w:tcW w:w="6975" w:type="dxa"/>
          </w:tcPr>
          <w:p w:rsidR="00F72B21" w:rsidRDefault="00F72B21" w:rsidP="00F72B21">
            <w:r>
              <w:t>• research counter party’s financial sustainability</w:t>
            </w:r>
          </w:p>
          <w:p w:rsidR="00F72B21" w:rsidRDefault="00F72B21" w:rsidP="00F72B21">
            <w:r>
              <w:t>• contractual agreement</w:t>
            </w:r>
          </w:p>
          <w:p w:rsidR="00F72B21" w:rsidRDefault="00F72B21" w:rsidP="00F72B21">
            <w:r>
              <w:t>• consider staged payments</w:t>
            </w:r>
          </w:p>
          <w:p w:rsidR="00F72B21" w:rsidRDefault="00F72B21" w:rsidP="00F72B21">
            <w:r>
              <w:t>• agree performance measures</w:t>
            </w:r>
          </w:p>
          <w:p w:rsidR="00F72B21" w:rsidRDefault="00F72B21" w:rsidP="00F72B21">
            <w:r>
              <w:t>• monitor and review investments</w:t>
            </w:r>
          </w:p>
          <w:p w:rsidR="00F72B21" w:rsidRDefault="00F72B21" w:rsidP="00F72B21">
            <w:r>
              <w:t>• establish monitoring and review arrangements where counter party is the charity’s agent (‘conduit funding’ arrangements</w:t>
            </w:r>
          </w:p>
          <w:p w:rsidR="00F72B21" w:rsidRDefault="00F72B21" w:rsidP="00F72B21"/>
        </w:tc>
      </w:tr>
    </w:tbl>
    <w:p w:rsidR="001D4131" w:rsidRDefault="001D4131" w:rsidP="0065531C"/>
    <w:p w:rsidR="001D4131" w:rsidRDefault="0065531C" w:rsidP="0065531C">
      <w:r>
        <w:tab/>
      </w:r>
    </w:p>
    <w:p w:rsidR="00F72B21" w:rsidRDefault="00F72B21">
      <w:r>
        <w:br w:type="page"/>
      </w:r>
    </w:p>
    <w:p w:rsidR="0065531C" w:rsidRPr="00F72B21" w:rsidRDefault="00F72B21" w:rsidP="0065531C">
      <w:pPr>
        <w:rPr>
          <w:b/>
        </w:rPr>
      </w:pPr>
      <w:r w:rsidRPr="00F72B21">
        <w:rPr>
          <w:b/>
        </w:rPr>
        <w:lastRenderedPageBreak/>
        <w:t>ENVIRONMENTAL / EXTERNAL</w:t>
      </w:r>
    </w:p>
    <w:tbl>
      <w:tblPr>
        <w:tblStyle w:val="TableGrid"/>
        <w:tblW w:w="0" w:type="auto"/>
        <w:tblLook w:val="04A0" w:firstRow="1" w:lastRow="0" w:firstColumn="1" w:lastColumn="0" w:noHBand="0" w:noVBand="1"/>
      </w:tblPr>
      <w:tblGrid>
        <w:gridCol w:w="6974"/>
        <w:gridCol w:w="6975"/>
        <w:gridCol w:w="6975"/>
      </w:tblGrid>
      <w:tr w:rsidR="00F72B21" w:rsidRPr="00F72B21" w:rsidTr="00F72B21">
        <w:tc>
          <w:tcPr>
            <w:tcW w:w="6974" w:type="dxa"/>
          </w:tcPr>
          <w:p w:rsidR="00F72B21" w:rsidRPr="00F72B21" w:rsidRDefault="00F72B21" w:rsidP="00F72B21">
            <w:pPr>
              <w:rPr>
                <w:b/>
              </w:rPr>
            </w:pPr>
            <w:r w:rsidRPr="00F72B21">
              <w:rPr>
                <w:b/>
              </w:rPr>
              <w:t>Potential risk</w:t>
            </w:r>
          </w:p>
        </w:tc>
        <w:tc>
          <w:tcPr>
            <w:tcW w:w="6975" w:type="dxa"/>
          </w:tcPr>
          <w:p w:rsidR="00F72B21" w:rsidRPr="00F72B21" w:rsidRDefault="00F72B21" w:rsidP="00F72B21">
            <w:pPr>
              <w:rPr>
                <w:b/>
              </w:rPr>
            </w:pPr>
            <w:r w:rsidRPr="00F72B21">
              <w:rPr>
                <w:b/>
              </w:rPr>
              <w:t>Potential impact</w:t>
            </w:r>
          </w:p>
        </w:tc>
        <w:tc>
          <w:tcPr>
            <w:tcW w:w="6975" w:type="dxa"/>
          </w:tcPr>
          <w:p w:rsidR="00F72B21" w:rsidRPr="00F72B21" w:rsidRDefault="00F72B21" w:rsidP="0065531C">
            <w:pPr>
              <w:rPr>
                <w:b/>
              </w:rPr>
            </w:pPr>
            <w:r w:rsidRPr="00F72B21">
              <w:rPr>
                <w:b/>
              </w:rPr>
              <w:t>Steps to mitigate risk</w:t>
            </w:r>
          </w:p>
        </w:tc>
      </w:tr>
      <w:tr w:rsidR="00F72B21" w:rsidTr="00F72B21">
        <w:tc>
          <w:tcPr>
            <w:tcW w:w="6974" w:type="dxa"/>
          </w:tcPr>
          <w:p w:rsidR="00F72B21" w:rsidRDefault="00F72B21" w:rsidP="0065531C">
            <w:r>
              <w:t>Public perception</w:t>
            </w:r>
          </w:p>
        </w:tc>
        <w:tc>
          <w:tcPr>
            <w:tcW w:w="6975" w:type="dxa"/>
          </w:tcPr>
          <w:p w:rsidR="00F72B21" w:rsidRDefault="00F72B21" w:rsidP="00F72B21">
            <w:r>
              <w:t>• impact on voluntary income</w:t>
            </w:r>
          </w:p>
          <w:p w:rsidR="00F72B21" w:rsidRDefault="00F72B21" w:rsidP="00F72B21">
            <w:r>
              <w:t>• impact on use of services by beneficiaries</w:t>
            </w:r>
          </w:p>
          <w:p w:rsidR="00F72B21" w:rsidRDefault="00F72B21" w:rsidP="00F72B21">
            <w:r>
              <w:t>• ability to access grants or contract funding</w:t>
            </w:r>
            <w:r>
              <w:tab/>
            </w:r>
          </w:p>
          <w:p w:rsidR="00F72B21" w:rsidRDefault="00F72B21" w:rsidP="0065531C"/>
        </w:tc>
        <w:tc>
          <w:tcPr>
            <w:tcW w:w="6975" w:type="dxa"/>
          </w:tcPr>
          <w:p w:rsidR="00F72B21" w:rsidRDefault="00F72B21" w:rsidP="00F72B21">
            <w:r>
              <w:t>• communicate with supporters and beneficiaries</w:t>
            </w:r>
          </w:p>
          <w:p w:rsidR="00F72B21" w:rsidRDefault="00F72B21" w:rsidP="00F72B21">
            <w:r>
              <w:t>• ensure good quality reporting of the charity’s activities and financial situation</w:t>
            </w:r>
          </w:p>
          <w:p w:rsidR="00F72B21" w:rsidRDefault="00F72B21" w:rsidP="00F72B21">
            <w:r>
              <w:t>• implement public relations training/procedures</w:t>
            </w:r>
          </w:p>
        </w:tc>
      </w:tr>
      <w:tr w:rsidR="00F72B21" w:rsidTr="00F72B21">
        <w:tc>
          <w:tcPr>
            <w:tcW w:w="6974" w:type="dxa"/>
          </w:tcPr>
          <w:p w:rsidR="00F72B21" w:rsidRDefault="00F72B21" w:rsidP="0065531C">
            <w:r>
              <w:t>Adverse publicity</w:t>
            </w:r>
          </w:p>
        </w:tc>
        <w:tc>
          <w:tcPr>
            <w:tcW w:w="6975" w:type="dxa"/>
          </w:tcPr>
          <w:p w:rsidR="00F72B21" w:rsidRDefault="00F72B21" w:rsidP="00F72B21">
            <w:r>
              <w:t>• loss of donor confidence or funding</w:t>
            </w:r>
          </w:p>
          <w:p w:rsidR="00F72B21" w:rsidRDefault="00F72B21" w:rsidP="00F72B21">
            <w:r>
              <w:t>• loss of influence</w:t>
            </w:r>
          </w:p>
          <w:p w:rsidR="00F72B21" w:rsidRDefault="00F72B21" w:rsidP="00F72B21">
            <w:r>
              <w:t>• impact on morale of staff</w:t>
            </w:r>
          </w:p>
          <w:p w:rsidR="00F72B21" w:rsidRDefault="00F72B21" w:rsidP="00F72B21">
            <w:r>
              <w:t>• loss of beneficiary confidence</w:t>
            </w:r>
          </w:p>
        </w:tc>
        <w:tc>
          <w:tcPr>
            <w:tcW w:w="6975" w:type="dxa"/>
          </w:tcPr>
          <w:p w:rsidR="00F72B21" w:rsidRDefault="00F72B21" w:rsidP="00F72B21">
            <w:r>
              <w:t xml:space="preserve">• implement complaints procedures (both internal and external) </w:t>
            </w:r>
          </w:p>
          <w:p w:rsidR="00F72B21" w:rsidRDefault="00F72B21" w:rsidP="00F72B21">
            <w:r>
              <w:t>• agree proper review procedures for complaints</w:t>
            </w:r>
          </w:p>
          <w:p w:rsidR="00F72B21" w:rsidRDefault="00F72B21" w:rsidP="00F72B21">
            <w:r>
              <w:t>• agree a crisis management strategy for handling - including consistency of key messages and a nominated spokesperson</w:t>
            </w:r>
          </w:p>
        </w:tc>
      </w:tr>
      <w:tr w:rsidR="00F72B21" w:rsidTr="00F72B21">
        <w:tc>
          <w:tcPr>
            <w:tcW w:w="6974" w:type="dxa"/>
          </w:tcPr>
          <w:p w:rsidR="00F72B21" w:rsidRDefault="00F72B21" w:rsidP="0065531C">
            <w:r>
              <w:t>Relationship with funders</w:t>
            </w:r>
          </w:p>
        </w:tc>
        <w:tc>
          <w:tcPr>
            <w:tcW w:w="6975" w:type="dxa"/>
          </w:tcPr>
          <w:p w:rsidR="00F72B21" w:rsidRDefault="00F72B21" w:rsidP="0065531C">
            <w:r>
              <w:t>• deterioration in relationship may impact on funding and support available</w:t>
            </w:r>
          </w:p>
        </w:tc>
        <w:tc>
          <w:tcPr>
            <w:tcW w:w="6975" w:type="dxa"/>
          </w:tcPr>
          <w:p w:rsidR="00F72B21" w:rsidRDefault="00F72B21" w:rsidP="00F72B21">
            <w:r>
              <w:t>• ensure regular contact and briefings to major funders</w:t>
            </w:r>
          </w:p>
          <w:p w:rsidR="00F72B21" w:rsidRDefault="00F72B21" w:rsidP="00F72B21">
            <w:r>
              <w:t>• report fully on projects</w:t>
            </w:r>
          </w:p>
          <w:p w:rsidR="00F72B21" w:rsidRDefault="00F72B21" w:rsidP="00F72B21">
            <w:r>
              <w:t>• meet funders’ terms and conditions</w:t>
            </w:r>
          </w:p>
        </w:tc>
      </w:tr>
      <w:tr w:rsidR="00F72B21" w:rsidTr="00F72B21">
        <w:tc>
          <w:tcPr>
            <w:tcW w:w="6974" w:type="dxa"/>
          </w:tcPr>
          <w:p w:rsidR="00F72B21" w:rsidRDefault="00F72B21" w:rsidP="0065531C">
            <w:r>
              <w:t>Demographic consideration</w:t>
            </w:r>
          </w:p>
        </w:tc>
        <w:tc>
          <w:tcPr>
            <w:tcW w:w="6975" w:type="dxa"/>
          </w:tcPr>
          <w:p w:rsidR="00F72B21" w:rsidRDefault="00F72B21" w:rsidP="00F72B21">
            <w:r>
              <w:t>• impact of demographic distribution of donors or beneficiaries</w:t>
            </w:r>
          </w:p>
          <w:p w:rsidR="00F72B21" w:rsidRDefault="00F72B21" w:rsidP="00F72B21">
            <w:r>
              <w:t>• increasing or decreasing beneficiary class</w:t>
            </w:r>
          </w:p>
          <w:p w:rsidR="00F72B21" w:rsidRDefault="00F72B21" w:rsidP="00F72B21">
            <w:r>
              <w:t>• increasing or decreasing donor class</w:t>
            </w:r>
          </w:p>
        </w:tc>
        <w:tc>
          <w:tcPr>
            <w:tcW w:w="6975" w:type="dxa"/>
          </w:tcPr>
          <w:p w:rsidR="00F72B21" w:rsidRDefault="00F72B21" w:rsidP="00F72B21">
            <w:r>
              <w:t>• profile donor base</w:t>
            </w:r>
          </w:p>
          <w:p w:rsidR="00F72B21" w:rsidRDefault="00F72B21" w:rsidP="00F72B21">
            <w:r>
              <w:t>• profile and understand beneficiary needs</w:t>
            </w:r>
          </w:p>
          <w:p w:rsidR="00F72B21" w:rsidRDefault="00F72B21" w:rsidP="00F72B21">
            <w:r>
              <w:t>• use actuarial analysis to establish future funding requirements</w:t>
            </w:r>
          </w:p>
        </w:tc>
      </w:tr>
      <w:tr w:rsidR="00F72B21" w:rsidTr="00F72B21">
        <w:tc>
          <w:tcPr>
            <w:tcW w:w="6974" w:type="dxa"/>
          </w:tcPr>
          <w:p w:rsidR="00F72B21" w:rsidRDefault="00F72B21" w:rsidP="0065531C">
            <w:r>
              <w:t>Government policy</w:t>
            </w:r>
          </w:p>
        </w:tc>
        <w:tc>
          <w:tcPr>
            <w:tcW w:w="6975" w:type="dxa"/>
          </w:tcPr>
          <w:p w:rsidR="00F72B21" w:rsidRDefault="00F72B21" w:rsidP="00F72B21">
            <w:r>
              <w:t>• availability of contract and grant funding</w:t>
            </w:r>
          </w:p>
          <w:p w:rsidR="00F72B21" w:rsidRDefault="00F72B21" w:rsidP="00F72B21">
            <w:r>
              <w:t>• impact of tax regime on voluntary giving</w:t>
            </w:r>
          </w:p>
          <w:p w:rsidR="00F72B21" w:rsidRDefault="00F72B21" w:rsidP="00F72B21">
            <w:r>
              <w:t>• impact of general legislation or regulation on activities undertaken</w:t>
            </w:r>
          </w:p>
          <w:p w:rsidR="00F72B21" w:rsidRDefault="00F72B21" w:rsidP="00F72B21">
            <w:r>
              <w:t>• role of voluntary sector</w:t>
            </w:r>
          </w:p>
        </w:tc>
        <w:tc>
          <w:tcPr>
            <w:tcW w:w="6975" w:type="dxa"/>
          </w:tcPr>
          <w:p w:rsidR="00F72B21" w:rsidRDefault="00F72B21" w:rsidP="00F72B21">
            <w:r>
              <w:t>• monitor proposed legal and regulatory changes</w:t>
            </w:r>
          </w:p>
          <w:p w:rsidR="00F72B21" w:rsidRDefault="00F72B21" w:rsidP="00F72B21">
            <w:r>
              <w:t>• consider membership of appropriate umbrella bodies</w:t>
            </w:r>
          </w:p>
          <w:p w:rsidR="00F72B21" w:rsidRDefault="00F72B21" w:rsidP="0065531C"/>
        </w:tc>
      </w:tr>
    </w:tbl>
    <w:p w:rsidR="00F72B21" w:rsidRDefault="00F72B21" w:rsidP="0065531C"/>
    <w:p w:rsidR="00F72B21" w:rsidRDefault="00F72B21" w:rsidP="0065531C"/>
    <w:p w:rsidR="00F72B21" w:rsidRDefault="00F72B21" w:rsidP="0065531C"/>
    <w:p w:rsidR="0065531C" w:rsidRPr="00F72B21" w:rsidRDefault="00F72B21" w:rsidP="0065531C">
      <w:pPr>
        <w:rPr>
          <w:b/>
        </w:rPr>
      </w:pPr>
      <w:r w:rsidRPr="00F72B21">
        <w:rPr>
          <w:b/>
        </w:rPr>
        <w:t>LAW AND REGULATION</w:t>
      </w:r>
    </w:p>
    <w:tbl>
      <w:tblPr>
        <w:tblStyle w:val="TableGrid"/>
        <w:tblW w:w="0" w:type="auto"/>
        <w:tblLook w:val="04A0" w:firstRow="1" w:lastRow="0" w:firstColumn="1" w:lastColumn="0" w:noHBand="0" w:noVBand="1"/>
      </w:tblPr>
      <w:tblGrid>
        <w:gridCol w:w="6974"/>
        <w:gridCol w:w="6975"/>
        <w:gridCol w:w="6975"/>
      </w:tblGrid>
      <w:tr w:rsidR="00F72B21" w:rsidRPr="00F72B21" w:rsidTr="00F72B21">
        <w:tc>
          <w:tcPr>
            <w:tcW w:w="6974" w:type="dxa"/>
          </w:tcPr>
          <w:p w:rsidR="00F72B21" w:rsidRPr="00F72B21" w:rsidRDefault="00F72B21" w:rsidP="0065531C">
            <w:pPr>
              <w:rPr>
                <w:b/>
              </w:rPr>
            </w:pPr>
            <w:r w:rsidRPr="00F72B21">
              <w:rPr>
                <w:b/>
              </w:rPr>
              <w:t>Potential risk</w:t>
            </w:r>
          </w:p>
        </w:tc>
        <w:tc>
          <w:tcPr>
            <w:tcW w:w="6975" w:type="dxa"/>
          </w:tcPr>
          <w:p w:rsidR="00F72B21" w:rsidRPr="00F72B21" w:rsidRDefault="00F72B21" w:rsidP="0065531C">
            <w:pPr>
              <w:rPr>
                <w:b/>
              </w:rPr>
            </w:pPr>
            <w:r w:rsidRPr="00F72B21">
              <w:rPr>
                <w:b/>
              </w:rPr>
              <w:t>Potential impact</w:t>
            </w:r>
          </w:p>
        </w:tc>
        <w:tc>
          <w:tcPr>
            <w:tcW w:w="6975" w:type="dxa"/>
          </w:tcPr>
          <w:p w:rsidR="00F72B21" w:rsidRPr="00F72B21" w:rsidRDefault="00F72B21" w:rsidP="0065531C">
            <w:pPr>
              <w:rPr>
                <w:b/>
              </w:rPr>
            </w:pPr>
            <w:r w:rsidRPr="00F72B21">
              <w:rPr>
                <w:b/>
              </w:rPr>
              <w:t>Steps to mitigate risk</w:t>
            </w:r>
          </w:p>
        </w:tc>
      </w:tr>
      <w:tr w:rsidR="00F72B21" w:rsidTr="00F72B21">
        <w:tc>
          <w:tcPr>
            <w:tcW w:w="6974" w:type="dxa"/>
          </w:tcPr>
          <w:p w:rsidR="00F72B21" w:rsidRDefault="00F72B21" w:rsidP="0065531C">
            <w:r>
              <w:t>Compliance with legislation and regulations appropriate to the activities, size and structure of the charity</w:t>
            </w:r>
          </w:p>
        </w:tc>
        <w:tc>
          <w:tcPr>
            <w:tcW w:w="6975" w:type="dxa"/>
          </w:tcPr>
          <w:p w:rsidR="00F72B21" w:rsidRDefault="00F72B21" w:rsidP="00F72B21">
            <w:r>
              <w:t>• fines, penalties or censure from licensing or activity regulators</w:t>
            </w:r>
          </w:p>
          <w:p w:rsidR="00F72B21" w:rsidRDefault="00F72B21" w:rsidP="00F72B21">
            <w:r>
              <w:t xml:space="preserve">• loss of licence to undertake particular activity (see operational risks) </w:t>
            </w:r>
          </w:p>
          <w:p w:rsidR="00F72B21" w:rsidRDefault="00F72B21" w:rsidP="00F72B21">
            <w:r>
              <w:t>• employee or consumer action for negligence</w:t>
            </w:r>
          </w:p>
          <w:p w:rsidR="00F72B21" w:rsidRDefault="00F72B21" w:rsidP="00F72B21">
            <w:r>
              <w:t>• reputational risks</w:t>
            </w:r>
          </w:p>
        </w:tc>
        <w:tc>
          <w:tcPr>
            <w:tcW w:w="6975" w:type="dxa"/>
          </w:tcPr>
          <w:p w:rsidR="00F72B21" w:rsidRDefault="00F72B21" w:rsidP="00F72B21">
            <w:r>
              <w:t>• identify key legal and regulatory requirements</w:t>
            </w:r>
          </w:p>
          <w:p w:rsidR="00F72B21" w:rsidRDefault="00F72B21" w:rsidP="00F72B21">
            <w:r>
              <w:t>• allocate responsibility for key compliance procedures</w:t>
            </w:r>
          </w:p>
          <w:p w:rsidR="00F72B21" w:rsidRDefault="00F72B21" w:rsidP="00F72B21">
            <w:r>
              <w:t>• put in place compliance monitoring and reporting</w:t>
            </w:r>
          </w:p>
          <w:p w:rsidR="00F72B21" w:rsidRDefault="00F72B21" w:rsidP="00F72B21">
            <w:r>
              <w:t>• prepare for compliance visits</w:t>
            </w:r>
          </w:p>
          <w:p w:rsidR="00F72B21" w:rsidRDefault="00F72B21" w:rsidP="00F72B21">
            <w:r>
              <w:t>• obtain compliance reports from regulators (where appropriate) - auditors and staff to consider and action at appropriate level</w:t>
            </w:r>
          </w:p>
          <w:p w:rsidR="00F72B21" w:rsidRDefault="00F72B21" w:rsidP="0065531C"/>
        </w:tc>
      </w:tr>
      <w:tr w:rsidR="00F72B21" w:rsidTr="00F72B21">
        <w:tc>
          <w:tcPr>
            <w:tcW w:w="6974" w:type="dxa"/>
          </w:tcPr>
          <w:p w:rsidR="00F72B21" w:rsidRDefault="00F72B21" w:rsidP="0065531C">
            <w:r>
              <w:t>Regulatory reporting requirements</w:t>
            </w:r>
          </w:p>
          <w:p w:rsidR="00F72B21" w:rsidRDefault="00F72B21" w:rsidP="00F72B21">
            <w:r>
              <w:t>Financial and other reporting requirements will be dependent on how the charity is constituted and may also vary according to funding arrangements</w:t>
            </w:r>
          </w:p>
        </w:tc>
        <w:tc>
          <w:tcPr>
            <w:tcW w:w="6975" w:type="dxa"/>
          </w:tcPr>
          <w:p w:rsidR="00F72B21" w:rsidRDefault="00F72B21" w:rsidP="00F72B21">
            <w:r>
              <w:t>• regulatory action</w:t>
            </w:r>
          </w:p>
          <w:p w:rsidR="00F72B21" w:rsidRDefault="00F72B21" w:rsidP="00F72B21">
            <w:r>
              <w:t>• reputational risks</w:t>
            </w:r>
          </w:p>
          <w:p w:rsidR="00F72B21" w:rsidRDefault="00F72B21" w:rsidP="00F72B21">
            <w:r>
              <w:t>• impact on funding</w:t>
            </w:r>
          </w:p>
        </w:tc>
        <w:tc>
          <w:tcPr>
            <w:tcW w:w="6975" w:type="dxa"/>
          </w:tcPr>
          <w:p w:rsidR="00F72B21" w:rsidRDefault="00F72B21" w:rsidP="00F72B21">
            <w:r>
              <w:t>• review and agree compliance procedures and allocation of staff responsibilities</w:t>
            </w:r>
          </w:p>
          <w:p w:rsidR="00F72B21" w:rsidRDefault="00F72B21" w:rsidP="0065531C"/>
        </w:tc>
      </w:tr>
      <w:tr w:rsidR="00F72B21" w:rsidTr="00F72B21">
        <w:tc>
          <w:tcPr>
            <w:tcW w:w="6974" w:type="dxa"/>
          </w:tcPr>
          <w:p w:rsidR="00F72B21" w:rsidRDefault="00F72B21" w:rsidP="0065531C">
            <w:r>
              <w:t>Taxation</w:t>
            </w:r>
          </w:p>
        </w:tc>
        <w:tc>
          <w:tcPr>
            <w:tcW w:w="6975" w:type="dxa"/>
          </w:tcPr>
          <w:p w:rsidR="00F72B21" w:rsidRDefault="00F72B21" w:rsidP="00F72B21">
            <w:r>
              <w:t>• penalties, interest and ‘back duty’ assessments</w:t>
            </w:r>
          </w:p>
          <w:p w:rsidR="00F72B21" w:rsidRDefault="00F72B21" w:rsidP="00F72B21">
            <w:r>
              <w:t xml:space="preserve">• loss of income </w:t>
            </w:r>
            <w:proofErr w:type="spellStart"/>
            <w:r>
              <w:t>eg</w:t>
            </w:r>
            <w:proofErr w:type="spellEnd"/>
            <w:r>
              <w:t xml:space="preserve"> failure to utilise gift aid arrangements</w:t>
            </w:r>
          </w:p>
          <w:p w:rsidR="00F72B21" w:rsidRDefault="00F72B21" w:rsidP="00F72B21">
            <w:r>
              <w:t>• loss of mandatory or discretionary rate relief</w:t>
            </w:r>
          </w:p>
          <w:p w:rsidR="00F72B21" w:rsidRDefault="00F72B21" w:rsidP="00F72B21">
            <w:r>
              <w:t>• failure to utilise tax exemptions and reliefs</w:t>
            </w:r>
          </w:p>
        </w:tc>
        <w:tc>
          <w:tcPr>
            <w:tcW w:w="6975" w:type="dxa"/>
          </w:tcPr>
          <w:p w:rsidR="00F72B21" w:rsidRDefault="00F72B21" w:rsidP="00F72B21">
            <w:r>
              <w:t>• review PAYE compliance procedures</w:t>
            </w:r>
          </w:p>
          <w:p w:rsidR="00F72B21" w:rsidRDefault="00F72B21" w:rsidP="00F72B21">
            <w:r>
              <w:t>• review VAT procedures</w:t>
            </w:r>
          </w:p>
          <w:p w:rsidR="00F72B21" w:rsidRDefault="00F72B21" w:rsidP="00F72B21">
            <w:r>
              <w:t>• file timely tax returns</w:t>
            </w:r>
          </w:p>
          <w:p w:rsidR="00F72B21" w:rsidRDefault="00F72B21" w:rsidP="00F72B21">
            <w:r>
              <w:t xml:space="preserve">• understand exemptions and reliefs available (direct tax and VAT) </w:t>
            </w:r>
          </w:p>
          <w:p w:rsidR="00F72B21" w:rsidRDefault="00F72B21" w:rsidP="00F72B21">
            <w:r>
              <w:t>• take advice on employment status and contract terms and tax</w:t>
            </w:r>
          </w:p>
          <w:p w:rsidR="00F72B21" w:rsidRDefault="00F72B21" w:rsidP="00F72B21">
            <w:r>
              <w:t>• implement budget and financial reporting identifying trading receipts, and tax recoveries</w:t>
            </w:r>
          </w:p>
          <w:p w:rsidR="00F72B21" w:rsidRDefault="00F72B21" w:rsidP="0065531C"/>
        </w:tc>
      </w:tr>
      <w:tr w:rsidR="00F72B21" w:rsidTr="00F72B21">
        <w:tc>
          <w:tcPr>
            <w:tcW w:w="6974" w:type="dxa"/>
          </w:tcPr>
          <w:p w:rsidR="00F72B21" w:rsidRDefault="00F72B21" w:rsidP="0065531C">
            <w:r>
              <w:t>Professional advice</w:t>
            </w:r>
          </w:p>
        </w:tc>
        <w:tc>
          <w:tcPr>
            <w:tcW w:w="6975" w:type="dxa"/>
          </w:tcPr>
          <w:p w:rsidR="00F72B21" w:rsidRDefault="00F72B21" w:rsidP="00F72B21">
            <w:r>
              <w:t>• lack of investment strategy or management</w:t>
            </w:r>
          </w:p>
          <w:p w:rsidR="00F72B21" w:rsidRDefault="00F72B21" w:rsidP="00F72B21">
            <w:r>
              <w:t>• failure to optimise fiscal position</w:t>
            </w:r>
          </w:p>
          <w:p w:rsidR="00F72B21" w:rsidRDefault="00F72B21" w:rsidP="00F72B21">
            <w:r>
              <w:t>• contract risks</w:t>
            </w:r>
          </w:p>
          <w:p w:rsidR="00F72B21" w:rsidRDefault="00F72B21" w:rsidP="00F72B21">
            <w:r>
              <w:t>• failure to address compliance risks</w:t>
            </w:r>
          </w:p>
        </w:tc>
        <w:tc>
          <w:tcPr>
            <w:tcW w:w="6975" w:type="dxa"/>
          </w:tcPr>
          <w:p w:rsidR="00F72B21" w:rsidRDefault="00F72B21" w:rsidP="00F72B21">
            <w:r>
              <w:t>• identify and ensure access to professional advice</w:t>
            </w:r>
          </w:p>
          <w:p w:rsidR="00F72B21" w:rsidRDefault="00F72B21" w:rsidP="00F72B21">
            <w:r>
              <w:t>• identify issues where advice is required</w:t>
            </w:r>
          </w:p>
          <w:p w:rsidR="00F72B21" w:rsidRDefault="00F72B21" w:rsidP="00F72B21">
            <w:r>
              <w:t>• conduct compliance reviews</w:t>
            </w:r>
          </w:p>
          <w:p w:rsidR="00F72B21" w:rsidRDefault="00F72B21" w:rsidP="0065531C"/>
        </w:tc>
      </w:tr>
    </w:tbl>
    <w:p w:rsidR="00F72B21" w:rsidRDefault="00F72B21" w:rsidP="0065531C"/>
    <w:sectPr w:rsidR="00F72B21" w:rsidSect="00F72B21">
      <w:footerReference w:type="default" r:id="rId8"/>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20" w:rsidRDefault="00C72B20" w:rsidP="00F72B21">
      <w:pPr>
        <w:spacing w:after="0" w:line="240" w:lineRule="auto"/>
      </w:pPr>
      <w:r>
        <w:separator/>
      </w:r>
    </w:p>
  </w:endnote>
  <w:endnote w:type="continuationSeparator" w:id="0">
    <w:p w:rsidR="00C72B20" w:rsidRDefault="00C72B20" w:rsidP="00F7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878377"/>
      <w:docPartObj>
        <w:docPartGallery w:val="Page Numbers (Bottom of Page)"/>
        <w:docPartUnique/>
      </w:docPartObj>
    </w:sdtPr>
    <w:sdtEndPr>
      <w:rPr>
        <w:noProof/>
      </w:rPr>
    </w:sdtEndPr>
    <w:sdtContent>
      <w:p w:rsidR="00C72B20" w:rsidRDefault="00C72B20" w:rsidP="00F72B21">
        <w:pPr>
          <w:pStyle w:val="Footer"/>
          <w:jc w:val="right"/>
        </w:pPr>
        <w:r>
          <w:fldChar w:fldCharType="begin"/>
        </w:r>
        <w:r>
          <w:instrText xml:space="preserve"> PAGE   \* MERGEFORMAT </w:instrText>
        </w:r>
        <w:r>
          <w:fldChar w:fldCharType="separate"/>
        </w:r>
        <w:r w:rsidR="00753A88">
          <w:rPr>
            <w:noProof/>
          </w:rPr>
          <w:t>9</w:t>
        </w:r>
        <w:r>
          <w:rPr>
            <w:noProof/>
          </w:rPr>
          <w:fldChar w:fldCharType="end"/>
        </w:r>
      </w:p>
    </w:sdtContent>
  </w:sdt>
  <w:p w:rsidR="00C72B20" w:rsidRDefault="00C72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20" w:rsidRDefault="00C72B20" w:rsidP="00F72B21">
      <w:pPr>
        <w:spacing w:after="0" w:line="240" w:lineRule="auto"/>
      </w:pPr>
      <w:r>
        <w:separator/>
      </w:r>
    </w:p>
  </w:footnote>
  <w:footnote w:type="continuationSeparator" w:id="0">
    <w:p w:rsidR="00C72B20" w:rsidRDefault="00C72B20" w:rsidP="00F72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31E5E"/>
    <w:multiLevelType w:val="hybridMultilevel"/>
    <w:tmpl w:val="7B02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1C"/>
    <w:rsid w:val="0003711A"/>
    <w:rsid w:val="001D4131"/>
    <w:rsid w:val="004C75B7"/>
    <w:rsid w:val="00586BCE"/>
    <w:rsid w:val="0065531C"/>
    <w:rsid w:val="00753A88"/>
    <w:rsid w:val="00A73243"/>
    <w:rsid w:val="00AA1FF5"/>
    <w:rsid w:val="00C729D0"/>
    <w:rsid w:val="00C72B20"/>
    <w:rsid w:val="00CB3D0E"/>
    <w:rsid w:val="00F35F9F"/>
    <w:rsid w:val="00F72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474A4-E020-4095-978D-178447E1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31C"/>
    <w:pPr>
      <w:ind w:left="720"/>
      <w:contextualSpacing/>
    </w:pPr>
  </w:style>
  <w:style w:type="paragraph" w:styleId="Header">
    <w:name w:val="header"/>
    <w:basedOn w:val="Normal"/>
    <w:link w:val="HeaderChar"/>
    <w:uiPriority w:val="99"/>
    <w:unhideWhenUsed/>
    <w:rsid w:val="00F72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B21"/>
  </w:style>
  <w:style w:type="paragraph" w:styleId="Footer">
    <w:name w:val="footer"/>
    <w:basedOn w:val="Normal"/>
    <w:link w:val="FooterChar"/>
    <w:uiPriority w:val="99"/>
    <w:unhideWhenUsed/>
    <w:rsid w:val="00F72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B21"/>
  </w:style>
  <w:style w:type="character" w:styleId="Hyperlink">
    <w:name w:val="Hyperlink"/>
    <w:basedOn w:val="DefaultParagraphFont"/>
    <w:uiPriority w:val="99"/>
    <w:unhideWhenUsed/>
    <w:rsid w:val="00C72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harities-and-risk-management-cc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Owen</dc:creator>
  <cp:keywords/>
  <dc:description/>
  <cp:lastModifiedBy>Jane Owen</cp:lastModifiedBy>
  <cp:revision>4</cp:revision>
  <dcterms:created xsi:type="dcterms:W3CDTF">2017-12-08T13:26:00Z</dcterms:created>
  <dcterms:modified xsi:type="dcterms:W3CDTF">2017-12-08T14:26:00Z</dcterms:modified>
</cp:coreProperties>
</file>